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3F84" w14:textId="434C67E2" w:rsidR="00B916B9" w:rsidRPr="00DB3907" w:rsidRDefault="00B916B9" w:rsidP="00B916B9">
      <w:pPr>
        <w:pStyle w:val="Header"/>
        <w:tabs>
          <w:tab w:val="right" w:pos="9639"/>
        </w:tabs>
        <w:rPr>
          <w:rFonts w:cs="Arial"/>
          <w:sz w:val="24"/>
          <w:szCs w:val="24"/>
          <w:lang w:val="de-DE"/>
        </w:rPr>
      </w:pPr>
      <w:r w:rsidRPr="00DB3907">
        <w:rPr>
          <w:rFonts w:cs="Arial"/>
          <w:sz w:val="24"/>
          <w:szCs w:val="24"/>
          <w:lang w:val="de-DE"/>
        </w:rPr>
        <w:t xml:space="preserve">3GPP </w:t>
      </w:r>
      <w:r w:rsidR="00CF0C34">
        <w:rPr>
          <w:rFonts w:cs="Arial"/>
          <w:sz w:val="24"/>
          <w:szCs w:val="24"/>
          <w:lang w:val="de-DE"/>
        </w:rPr>
        <w:t>TSG</w:t>
      </w:r>
      <w:r w:rsidR="004F3CA1">
        <w:rPr>
          <w:rFonts w:cs="Arial"/>
          <w:sz w:val="24"/>
          <w:szCs w:val="24"/>
          <w:lang w:val="de-DE"/>
        </w:rPr>
        <w:t>-</w:t>
      </w:r>
      <w:r w:rsidRPr="00DB3907">
        <w:rPr>
          <w:rFonts w:cs="Arial"/>
          <w:sz w:val="24"/>
          <w:szCs w:val="24"/>
          <w:lang w:val="de-DE"/>
        </w:rPr>
        <w:t xml:space="preserve">RAN WG4 </w:t>
      </w:r>
      <w:r>
        <w:rPr>
          <w:rFonts w:cs="Arial"/>
          <w:sz w:val="24"/>
          <w:szCs w:val="24"/>
          <w:lang w:val="de-DE"/>
        </w:rPr>
        <w:t>#</w:t>
      </w:r>
      <w:r w:rsidR="000A34FE">
        <w:rPr>
          <w:rFonts w:cs="Arial"/>
          <w:sz w:val="24"/>
          <w:szCs w:val="24"/>
          <w:lang w:val="de-DE"/>
        </w:rPr>
        <w:t>107</w:t>
      </w:r>
      <w:r w:rsidRPr="00DB3907">
        <w:rPr>
          <w:rFonts w:cs="Arial"/>
          <w:sz w:val="24"/>
          <w:szCs w:val="24"/>
          <w:lang w:val="de-DE"/>
        </w:rPr>
        <w:tab/>
      </w:r>
      <w:r w:rsidR="00D4151C" w:rsidRPr="00D4151C">
        <w:rPr>
          <w:rFonts w:cs="Arial"/>
          <w:sz w:val="24"/>
          <w:szCs w:val="24"/>
          <w:lang w:val="de-DE"/>
        </w:rPr>
        <w:t>R4-2309661</w:t>
      </w:r>
    </w:p>
    <w:p w14:paraId="41669A5F" w14:textId="3B1B5C63" w:rsidR="00B916B9" w:rsidRPr="00DB3907" w:rsidRDefault="00E864EA" w:rsidP="00E864EA">
      <w:pPr>
        <w:pStyle w:val="Header"/>
        <w:rPr>
          <w:rFonts w:cs="Arial"/>
          <w:sz w:val="24"/>
          <w:szCs w:val="24"/>
        </w:rPr>
      </w:pPr>
      <w:r>
        <w:rPr>
          <w:rFonts w:cs="Arial"/>
          <w:sz w:val="24"/>
          <w:szCs w:val="24"/>
        </w:rPr>
        <w:t xml:space="preserve">Incheon, South Korea, </w:t>
      </w:r>
      <w:r w:rsidR="000D7C11">
        <w:rPr>
          <w:rFonts w:cs="Arial"/>
          <w:sz w:val="24"/>
          <w:szCs w:val="24"/>
        </w:rPr>
        <w:t>May</w:t>
      </w:r>
      <w:r w:rsidR="00B916B9">
        <w:rPr>
          <w:rFonts w:cs="Arial"/>
          <w:sz w:val="24"/>
          <w:szCs w:val="24"/>
        </w:rPr>
        <w:t xml:space="preserve"> </w:t>
      </w:r>
      <w:r>
        <w:rPr>
          <w:rFonts w:cs="Arial"/>
          <w:sz w:val="24"/>
          <w:szCs w:val="24"/>
        </w:rPr>
        <w:t>22</w:t>
      </w:r>
      <w:r w:rsidRPr="000D7C11">
        <w:rPr>
          <w:rFonts w:cs="Arial"/>
          <w:sz w:val="24"/>
          <w:szCs w:val="24"/>
          <w:vertAlign w:val="superscript"/>
        </w:rPr>
        <w:t>nd</w:t>
      </w:r>
      <w:r w:rsidR="000D7C11">
        <w:rPr>
          <w:rFonts w:cs="Arial"/>
          <w:sz w:val="24"/>
          <w:szCs w:val="24"/>
        </w:rPr>
        <w:t xml:space="preserve"> </w:t>
      </w:r>
      <w:r w:rsidR="00B916B9">
        <w:rPr>
          <w:rFonts w:cs="Arial"/>
          <w:sz w:val="24"/>
          <w:szCs w:val="24"/>
        </w:rPr>
        <w:t>‒ 26</w:t>
      </w:r>
      <w:r w:rsidR="00B916B9">
        <w:rPr>
          <w:rFonts w:cs="Arial"/>
          <w:sz w:val="24"/>
          <w:szCs w:val="24"/>
          <w:vertAlign w:val="superscript"/>
        </w:rPr>
        <w:t>th</w:t>
      </w:r>
      <w:r w:rsidR="00B916B9">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FD12721"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010301">
        <w:rPr>
          <w:rFonts w:ascii="Arial" w:hAnsi="Arial"/>
          <w:sz w:val="24"/>
          <w:lang w:val="en-US"/>
        </w:rPr>
        <w:t>9.5.2</w:t>
      </w:r>
    </w:p>
    <w:p w14:paraId="1E1C2FD0" w14:textId="7212409C"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0A34FE">
        <w:rPr>
          <w:rFonts w:ascii="Arial" w:hAnsi="Arial"/>
          <w:sz w:val="24"/>
          <w:lang w:val="en-US"/>
        </w:rPr>
        <w:t>Inmarsat</w:t>
      </w:r>
    </w:p>
    <w:p w14:paraId="2BA7EB09" w14:textId="2917F96C"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10301">
        <w:rPr>
          <w:rFonts w:ascii="Arial" w:hAnsi="Arial"/>
          <w:sz w:val="24"/>
          <w:lang w:val="en-US"/>
        </w:rPr>
        <w:t>Clarification on IoT NTN Extended L-band</w:t>
      </w:r>
      <w:r w:rsidR="008610C1">
        <w:rPr>
          <w:rFonts w:ascii="Arial" w:hAnsi="Arial"/>
          <w:sz w:val="24"/>
          <w:lang w:val="en-US"/>
        </w:rPr>
        <w:t xml:space="preserve"> </w:t>
      </w:r>
      <w:r w:rsidR="00B36DE3">
        <w:rPr>
          <w:rFonts w:ascii="Arial" w:hAnsi="Arial"/>
          <w:sz w:val="24"/>
          <w:lang w:val="en-US"/>
        </w:rPr>
        <w:t>Parameters</w:t>
      </w:r>
    </w:p>
    <w:p w14:paraId="013F978F" w14:textId="2FE571C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54151">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E7913D2" w14:textId="20293F50" w:rsidR="006B6836" w:rsidRDefault="00584E6B" w:rsidP="009011AF">
      <w:r>
        <w:t>RAN#99 approved a New Work Item for the specification of a new 3GPP LTE band addressing the MSS Extended L-band,</w:t>
      </w:r>
      <w:r w:rsidR="007A0DB8">
        <w:t xml:space="preserve"> with frequency range of 1518-1525 MHz DL and 16</w:t>
      </w:r>
      <w:r w:rsidR="00563C85">
        <w:t>68-1675 Mhz UL,</w:t>
      </w:r>
      <w:r>
        <w:t xml:space="preserve"> </w:t>
      </w:r>
      <w:r w:rsidR="00563C85">
        <w:t>focusing on</w:t>
      </w:r>
      <w:r>
        <w:t xml:space="preserve"> IoT NTN</w:t>
      </w:r>
      <w:r w:rsidR="00563C85">
        <w:t xml:space="preserve"> support (Cat M1 and Cat NB1, NB2)</w:t>
      </w:r>
      <w:r w:rsidR="00240083">
        <w:t xml:space="preserve"> [1]</w:t>
      </w:r>
      <w:r w:rsidR="007A0DB8">
        <w:t>.</w:t>
      </w:r>
    </w:p>
    <w:p w14:paraId="3766AB20" w14:textId="25FA9D1C" w:rsidR="002E2BAF" w:rsidRDefault="002E2BAF" w:rsidP="009011AF">
      <w:r>
        <w:t xml:space="preserve">The initial focus of this New WID </w:t>
      </w:r>
      <w:r w:rsidR="005A0798">
        <w:t>was Region 1</w:t>
      </w:r>
      <w:r w:rsidR="00240083">
        <w:t xml:space="preserve"> [1]</w:t>
      </w:r>
      <w:r w:rsidR="00602F79">
        <w:t>, with the intent of simplifying the work</w:t>
      </w:r>
      <w:r w:rsidR="005A0798">
        <w:t xml:space="preserve">, however the MSS Extended L-band </w:t>
      </w:r>
      <w:r w:rsidR="00602F79">
        <w:t>generally has</w:t>
      </w:r>
      <w:r w:rsidR="005A0798">
        <w:t xml:space="preserve"> worldwide applicability, with some </w:t>
      </w:r>
      <w:r w:rsidR="00602F79">
        <w:t>limited exceptions or specific considerations.</w:t>
      </w:r>
    </w:p>
    <w:p w14:paraId="4AB89753" w14:textId="6EB3C714" w:rsidR="00653690" w:rsidRDefault="00602F79" w:rsidP="009011AF">
      <w:r>
        <w:t>However, a</w:t>
      </w:r>
      <w:r w:rsidR="00653690">
        <w:t>s part of</w:t>
      </w:r>
      <w:r w:rsidR="007F6FAE">
        <w:t xml:space="preserve"> discussion on band system parameters during RAN4#106-bis-e, </w:t>
      </w:r>
      <w:r w:rsidR="00B74568">
        <w:t>one company</w:t>
      </w:r>
      <w:r w:rsidR="007F6FAE">
        <w:t xml:space="preserve"> </w:t>
      </w:r>
      <w:r w:rsidR="002E2BAF">
        <w:t>suggested that, according to their interpretation of ECC Report 263</w:t>
      </w:r>
      <w:r>
        <w:t>, th</w:t>
      </w:r>
      <w:r w:rsidR="00864FFD">
        <w:t>is</w:t>
      </w:r>
      <w:r>
        <w:t xml:space="preserve"> </w:t>
      </w:r>
      <w:r w:rsidR="00864FFD">
        <w:t xml:space="preserve">new </w:t>
      </w:r>
      <w:r>
        <w:t xml:space="preserve">NTN </w:t>
      </w:r>
      <w:r w:rsidR="00864FFD">
        <w:t xml:space="preserve">band’s DL frequency </w:t>
      </w:r>
      <w:r>
        <w:t xml:space="preserve">range might need to be </w:t>
      </w:r>
      <w:r w:rsidR="002D1392">
        <w:t>further discussed and that a guard band of up to 3 MHz</w:t>
      </w:r>
      <w:r w:rsidR="00864FFD">
        <w:t xml:space="preserve"> towards the 1518 MHz edge</w:t>
      </w:r>
      <w:r w:rsidR="002D1392">
        <w:t xml:space="preserve"> might need to be introduced</w:t>
      </w:r>
      <w:r w:rsidR="00240083">
        <w:t xml:space="preserve"> [2]</w:t>
      </w:r>
      <w:r w:rsidR="002D1392">
        <w:t>.</w:t>
      </w:r>
    </w:p>
    <w:p w14:paraId="10BC7887" w14:textId="4C8C0650" w:rsidR="002D1392" w:rsidRDefault="002D1392" w:rsidP="009011AF">
      <w:r>
        <w:t>In this document, we wish to present some further clarifications to the regulatory background</w:t>
      </w:r>
      <w:r w:rsidR="00864FFD">
        <w:t xml:space="preserve">, including but not limited to ECC Report 263, in order to clarify </w:t>
      </w:r>
      <w:r w:rsidR="00D651C0">
        <w:t>that the</w:t>
      </w:r>
      <w:r w:rsidR="00B2187E">
        <w:t xml:space="preserve"> NTN</w:t>
      </w:r>
      <w:r w:rsidR="00D651C0">
        <w:t xml:space="preserve"> </w:t>
      </w:r>
      <w:r w:rsidR="00864FFD">
        <w:t>band’s</w:t>
      </w:r>
      <w:r w:rsidR="00D651C0">
        <w:t xml:space="preserve"> </w:t>
      </w:r>
      <w:r w:rsidR="00864FFD">
        <w:t>DL frequency</w:t>
      </w:r>
      <w:r w:rsidR="00D651C0">
        <w:t xml:space="preserve"> range</w:t>
      </w:r>
      <w:r w:rsidR="00B2187E">
        <w:t xml:space="preserve"> should be kept to 1518-1525 MHz, as already identified in the WID</w:t>
      </w:r>
      <w:r w:rsidR="00D651C0">
        <w:t>.</w:t>
      </w:r>
    </w:p>
    <w:p w14:paraId="10F6602E" w14:textId="0C33EAD7" w:rsidR="007E1E78" w:rsidRDefault="007E1E78" w:rsidP="0099327E">
      <w:pPr>
        <w:pStyle w:val="Heading1"/>
        <w:tabs>
          <w:tab w:val="clear" w:pos="432"/>
          <w:tab w:val="num" w:pos="522"/>
        </w:tabs>
        <w:ind w:left="522" w:hanging="522"/>
        <w:rPr>
          <w:lang w:val="en-US"/>
        </w:rPr>
      </w:pPr>
      <w:r>
        <w:rPr>
          <w:lang w:val="en-US"/>
        </w:rPr>
        <w:t>Discussion</w:t>
      </w:r>
    </w:p>
    <w:p w14:paraId="188E55A0" w14:textId="02CED1F5" w:rsidR="00B2187E" w:rsidRDefault="00B2187E" w:rsidP="001703E5">
      <w:pPr>
        <w:rPr>
          <w:lang w:val="en-US"/>
        </w:rPr>
      </w:pPr>
      <w:r>
        <w:rPr>
          <w:lang w:val="en-US"/>
        </w:rPr>
        <w:t>The frequency range</w:t>
      </w:r>
      <w:r w:rsidR="000032F9">
        <w:rPr>
          <w:lang w:val="en-US"/>
        </w:rPr>
        <w:t xml:space="preserve"> of 1518-1525 MHz (space-to-Earth) and 1668-1675 MHz (Earth-to-space) </w:t>
      </w:r>
      <w:r w:rsidR="008D1375">
        <w:rPr>
          <w:lang w:val="en-US"/>
        </w:rPr>
        <w:t xml:space="preserve">has historically been used for </w:t>
      </w:r>
      <w:r w:rsidR="00AE6881">
        <w:rPr>
          <w:lang w:val="en-US"/>
        </w:rPr>
        <w:t>Mobile Satellite Service (MSS) communications, to which it is assigned on a Primary basis</w:t>
      </w:r>
      <w:r w:rsidR="00277673">
        <w:rPr>
          <w:lang w:val="en-US"/>
        </w:rPr>
        <w:t xml:space="preserve">, including and predominantly for the provision of </w:t>
      </w:r>
      <w:r w:rsidR="002F60FB">
        <w:rPr>
          <w:lang w:val="en-US"/>
        </w:rPr>
        <w:t>Maritime and Aeronautical mission-critical safety and emergency services</w:t>
      </w:r>
      <w:r w:rsidR="00E14AE9">
        <w:rPr>
          <w:lang w:val="en-US"/>
        </w:rPr>
        <w:t xml:space="preserve">, including near airports and seaports.  This use of the band is expected to continue and grow, even as </w:t>
      </w:r>
      <w:r w:rsidR="000B0A32">
        <w:rPr>
          <w:lang w:val="en-US"/>
        </w:rPr>
        <w:t>satellite services start adopting more and more 3GPP NTN specifications.</w:t>
      </w:r>
    </w:p>
    <w:p w14:paraId="1994FF8C" w14:textId="56D65C70" w:rsidR="00006028" w:rsidRDefault="00006028" w:rsidP="001703E5">
      <w:pPr>
        <w:rPr>
          <w:lang w:val="en-US"/>
        </w:rPr>
      </w:pPr>
      <w:r>
        <w:rPr>
          <w:b/>
          <w:bCs/>
          <w:lang w:val="en-US"/>
        </w:rPr>
        <w:t xml:space="preserve">Observation 1: The MSS Extended L-band, </w:t>
      </w:r>
      <w:r w:rsidRPr="00030C97">
        <w:rPr>
          <w:b/>
          <w:bCs/>
          <w:lang w:val="en-US"/>
        </w:rPr>
        <w:t>1518-1525 MHz (space-to-Earth) and 1668-1675 MHz (Earth-to-space)</w:t>
      </w:r>
      <w:r>
        <w:rPr>
          <w:b/>
          <w:bCs/>
          <w:lang w:val="en-US"/>
        </w:rPr>
        <w:t>,</w:t>
      </w:r>
      <w:r w:rsidRPr="00030C97">
        <w:rPr>
          <w:b/>
          <w:bCs/>
          <w:lang w:val="en-US"/>
        </w:rPr>
        <w:t xml:space="preserve"> </w:t>
      </w:r>
      <w:r>
        <w:rPr>
          <w:b/>
          <w:bCs/>
          <w:lang w:val="en-US"/>
        </w:rPr>
        <w:t>has long been used for</w:t>
      </w:r>
      <w:r w:rsidRPr="00030C97">
        <w:rPr>
          <w:b/>
          <w:bCs/>
          <w:lang w:val="en-US"/>
        </w:rPr>
        <w:t xml:space="preserve"> Maritime and Aeronautical mission-critical safety and emergency services.  This use of the band is expected to continue and grow, </w:t>
      </w:r>
      <w:r>
        <w:rPr>
          <w:b/>
          <w:bCs/>
          <w:lang w:val="en-US"/>
        </w:rPr>
        <w:t xml:space="preserve">and progressively adopt more and more </w:t>
      </w:r>
      <w:r w:rsidRPr="00030C97">
        <w:rPr>
          <w:b/>
          <w:bCs/>
          <w:lang w:val="en-US"/>
        </w:rPr>
        <w:t>3GPP NTN specifications</w:t>
      </w:r>
      <w:r>
        <w:rPr>
          <w:b/>
          <w:bCs/>
          <w:lang w:val="en-US"/>
        </w:rPr>
        <w:t>.</w:t>
      </w:r>
    </w:p>
    <w:p w14:paraId="4A23719B" w14:textId="215EFCDA" w:rsidR="001E642E" w:rsidRDefault="004309F1" w:rsidP="001703E5">
      <w:pPr>
        <w:rPr>
          <w:lang w:val="en-US"/>
        </w:rPr>
      </w:pPr>
      <w:r>
        <w:rPr>
          <w:lang w:val="en-US"/>
        </w:rPr>
        <w:t>As outcome of WRC-15, ITU-R</w:t>
      </w:r>
      <w:r w:rsidR="00B2642E">
        <w:rPr>
          <w:lang w:val="en-US"/>
        </w:rPr>
        <w:t xml:space="preserve"> instructed administrations to</w:t>
      </w:r>
      <w:r w:rsidR="007645AE">
        <w:rPr>
          <w:lang w:val="en-US"/>
        </w:rPr>
        <w:t xml:space="preserve"> provide</w:t>
      </w:r>
      <w:r w:rsidR="00B2642E">
        <w:rPr>
          <w:lang w:val="en-US"/>
        </w:rPr>
        <w:t xml:space="preserve"> </w:t>
      </w:r>
      <w:r w:rsidR="002C5DC9" w:rsidRPr="002C5DC9">
        <w:rPr>
          <w:lang w:val="en-US"/>
        </w:rPr>
        <w:t>guidance on the implementation of frequency arrangements for</w:t>
      </w:r>
      <w:r w:rsidR="00BF24CD">
        <w:rPr>
          <w:lang w:val="en-US"/>
        </w:rPr>
        <w:t xml:space="preserve"> new perspective</w:t>
      </w:r>
      <w:r w:rsidR="002C5DC9" w:rsidRPr="002C5DC9">
        <w:rPr>
          <w:lang w:val="en-US"/>
        </w:rPr>
        <w:t xml:space="preserve"> IMT deployment</w:t>
      </w:r>
      <w:r w:rsidR="00BF24CD">
        <w:rPr>
          <w:lang w:val="en-US"/>
        </w:rPr>
        <w:t>s</w:t>
      </w:r>
      <w:r w:rsidR="002C5DC9" w:rsidRPr="002C5DC9">
        <w:rPr>
          <w:lang w:val="en-US"/>
        </w:rPr>
        <w:t xml:space="preserve"> in the frequency band 1427-1518 MHz</w:t>
      </w:r>
      <w:r w:rsidR="007645AE">
        <w:rPr>
          <w:lang w:val="en-US"/>
        </w:rPr>
        <w:t xml:space="preserve">, in order to protect </w:t>
      </w:r>
      <w:r w:rsidR="00BF24CD">
        <w:rPr>
          <w:lang w:val="en-US"/>
        </w:rPr>
        <w:t xml:space="preserve">existing </w:t>
      </w:r>
      <w:r w:rsidR="007645AE">
        <w:rPr>
          <w:lang w:val="en-US"/>
        </w:rPr>
        <w:t>MSS deployments in the 1518-1525 MHz range</w:t>
      </w:r>
      <w:r w:rsidR="00595F42">
        <w:rPr>
          <w:lang w:val="en-US"/>
        </w:rPr>
        <w:t xml:space="preserve"> [4]</w:t>
      </w:r>
      <w:r w:rsidR="007645AE">
        <w:rPr>
          <w:lang w:val="en-US"/>
        </w:rPr>
        <w:t>.</w:t>
      </w:r>
    </w:p>
    <w:p w14:paraId="3AFF8D42" w14:textId="62A00AF0" w:rsidR="00695D3D" w:rsidRDefault="00695D3D" w:rsidP="001703E5">
      <w:pPr>
        <w:rPr>
          <w:lang w:val="en-US"/>
        </w:rPr>
      </w:pPr>
      <w:r>
        <w:rPr>
          <w:lang w:val="en-US"/>
        </w:rPr>
        <w:t xml:space="preserve">This is reflected in </w:t>
      </w:r>
      <w:r w:rsidR="00AD694C">
        <w:rPr>
          <w:lang w:val="en-US"/>
        </w:rPr>
        <w:t xml:space="preserve">WRC </w:t>
      </w:r>
      <w:r w:rsidR="00AD694C">
        <w:t>RESOLUTION 223</w:t>
      </w:r>
      <w:r w:rsidR="00290613">
        <w:t xml:space="preserve"> (</w:t>
      </w:r>
      <w:r w:rsidR="00BA37D9" w:rsidRPr="00BA37D9">
        <w:t>REV.WRC-15</w:t>
      </w:r>
      <w:r w:rsidR="00BA37D9">
        <w:t xml:space="preserve"> </w:t>
      </w:r>
      <w:r w:rsidR="00290613">
        <w:t xml:space="preserve">and </w:t>
      </w:r>
      <w:r w:rsidR="00BA37D9" w:rsidRPr="00BA37D9">
        <w:t>REV.WRC-1</w:t>
      </w:r>
      <w:r w:rsidR="00BA37D9">
        <w:t>9</w:t>
      </w:r>
      <w:r w:rsidR="00290613">
        <w:t>)</w:t>
      </w:r>
      <w:r w:rsidR="00595F42">
        <w:t xml:space="preserve"> [5] [6]</w:t>
      </w:r>
      <w:r w:rsidR="00AD694C">
        <w:t>:</w:t>
      </w:r>
    </w:p>
    <w:p w14:paraId="03212C90" w14:textId="4057EFCA" w:rsidR="001E642E" w:rsidRDefault="001E642E" w:rsidP="00041B57">
      <w:pPr>
        <w:jc w:val="center"/>
        <w:rPr>
          <w:lang w:val="en-US"/>
        </w:rPr>
      </w:pPr>
      <w:r>
        <w:rPr>
          <w:noProof/>
        </w:rPr>
        <w:drawing>
          <wp:inline distT="0" distB="0" distL="0" distR="0" wp14:anchorId="0896E87C" wp14:editId="1C0F4FA3">
            <wp:extent cx="4788535" cy="873581"/>
            <wp:effectExtent l="38100" t="38100" r="88265" b="98425"/>
            <wp:docPr id="5" name="Picture 5" descr="A picture containing text, fon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font, screenshot&#10;&#10;Description automatically generated"/>
                    <pic:cNvPicPr/>
                  </pic:nvPicPr>
                  <pic:blipFill>
                    <a:blip r:embed="rId11"/>
                    <a:stretch>
                      <a:fillRect/>
                    </a:stretch>
                  </pic:blipFill>
                  <pic:spPr>
                    <a:xfrm>
                      <a:off x="0" y="0"/>
                      <a:ext cx="4809003" cy="877315"/>
                    </a:xfrm>
                    <a:prstGeom prst="rect">
                      <a:avLst/>
                    </a:prstGeom>
                    <a:effectLst>
                      <a:outerShdw blurRad="50800" dist="38100" dir="2700000" algn="tl" rotWithShape="0">
                        <a:prstClr val="black">
                          <a:alpha val="40000"/>
                        </a:prstClr>
                      </a:outerShdw>
                    </a:effectLst>
                  </pic:spPr>
                </pic:pic>
              </a:graphicData>
            </a:graphic>
          </wp:inline>
        </w:drawing>
      </w:r>
    </w:p>
    <w:p w14:paraId="034DABE0" w14:textId="27C41A03" w:rsidR="007645AE" w:rsidRDefault="00AD694C" w:rsidP="001703E5">
      <w:pPr>
        <w:rPr>
          <w:lang w:val="en-US"/>
        </w:rPr>
      </w:pPr>
      <w:r>
        <w:rPr>
          <w:lang w:val="en-US"/>
        </w:rPr>
        <w:t xml:space="preserve">And in </w:t>
      </w:r>
      <w:r>
        <w:t>Recommendation M.1036-6</w:t>
      </w:r>
      <w:r w:rsidR="00595F42">
        <w:t xml:space="preserve"> [</w:t>
      </w:r>
      <w:r w:rsidR="006552E2">
        <w:t>7]</w:t>
      </w:r>
      <w:r>
        <w:t>:</w:t>
      </w:r>
    </w:p>
    <w:p w14:paraId="008072C2" w14:textId="5D5A8944" w:rsidR="00B2642E" w:rsidRDefault="00E44024" w:rsidP="00041B57">
      <w:pPr>
        <w:jc w:val="center"/>
        <w:rPr>
          <w:lang w:val="en-US"/>
        </w:rPr>
      </w:pPr>
      <w:r>
        <w:rPr>
          <w:noProof/>
        </w:rPr>
        <w:lastRenderedPageBreak/>
        <w:drawing>
          <wp:inline distT="0" distB="0" distL="0" distR="0" wp14:anchorId="7550E844" wp14:editId="3D05F231">
            <wp:extent cx="5848985" cy="932218"/>
            <wp:effectExtent l="38100" t="38100" r="94615" b="96520"/>
            <wp:docPr id="2" name="Picture 2" descr="A picture containing text, fon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font, screenshot&#10;&#10;Description automatically generated"/>
                    <pic:cNvPicPr/>
                  </pic:nvPicPr>
                  <pic:blipFill>
                    <a:blip r:embed="rId12"/>
                    <a:stretch>
                      <a:fillRect/>
                    </a:stretch>
                  </pic:blipFill>
                  <pic:spPr>
                    <a:xfrm>
                      <a:off x="0" y="0"/>
                      <a:ext cx="5849223" cy="932256"/>
                    </a:xfrm>
                    <a:prstGeom prst="rect">
                      <a:avLst/>
                    </a:prstGeom>
                    <a:effectLst>
                      <a:outerShdw blurRad="50800" dist="38100" dir="2700000" algn="tl" rotWithShape="0">
                        <a:prstClr val="black">
                          <a:alpha val="40000"/>
                        </a:prstClr>
                      </a:outerShdw>
                    </a:effectLst>
                  </pic:spPr>
                </pic:pic>
              </a:graphicData>
            </a:graphic>
          </wp:inline>
        </w:drawing>
      </w:r>
    </w:p>
    <w:p w14:paraId="13001E58" w14:textId="5F0B373F" w:rsidR="00006028" w:rsidRDefault="00006028" w:rsidP="001703E5">
      <w:pPr>
        <w:rPr>
          <w:lang w:val="en-US"/>
        </w:rPr>
      </w:pPr>
      <w:r>
        <w:rPr>
          <w:b/>
          <w:bCs/>
          <w:lang w:val="en-US"/>
        </w:rPr>
        <w:t xml:space="preserve">Observation 2: ITU-R Recommendations and WRC Resolutions encourage </w:t>
      </w:r>
      <w:r w:rsidRPr="00012F79">
        <w:rPr>
          <w:b/>
          <w:bCs/>
          <w:lang w:val="en-US"/>
        </w:rPr>
        <w:t>administrations to consider additional frequency separation below</w:t>
      </w:r>
      <w:r>
        <w:rPr>
          <w:b/>
          <w:bCs/>
          <w:lang w:val="en-US"/>
        </w:rPr>
        <w:t xml:space="preserve"> </w:t>
      </w:r>
      <w:r w:rsidRPr="00012F79">
        <w:rPr>
          <w:b/>
          <w:bCs/>
          <w:lang w:val="en-US"/>
        </w:rPr>
        <w:t>1518 MHz</w:t>
      </w:r>
      <w:r>
        <w:rPr>
          <w:b/>
          <w:bCs/>
          <w:lang w:val="en-US"/>
        </w:rPr>
        <w:t xml:space="preserve">, with </w:t>
      </w:r>
      <w:r w:rsidRPr="00AE6BE7">
        <w:rPr>
          <w:b/>
          <w:bCs/>
          <w:lang w:val="en-US"/>
        </w:rPr>
        <w:t>a total separation of different values up to 6 MHz</w:t>
      </w:r>
      <w:r>
        <w:rPr>
          <w:b/>
          <w:bCs/>
          <w:lang w:val="en-US"/>
        </w:rPr>
        <w:t xml:space="preserve">, </w:t>
      </w:r>
      <w:r w:rsidRPr="00012F79">
        <w:rPr>
          <w:b/>
          <w:bCs/>
          <w:lang w:val="en-US"/>
        </w:rPr>
        <w:t>to protect existing MSS services starting from the 1518 MHz boundary.</w:t>
      </w:r>
    </w:p>
    <w:p w14:paraId="23FBD3D7" w14:textId="339FC2C7" w:rsidR="00B32D33" w:rsidRDefault="00B32D33" w:rsidP="001703E5">
      <w:pPr>
        <w:rPr>
          <w:lang w:val="en-US"/>
        </w:rPr>
      </w:pPr>
      <w:r>
        <w:rPr>
          <w:lang w:val="en-US"/>
        </w:rPr>
        <w:t>ECC Report 263 notes that the IMT block ends at 1517 MHz</w:t>
      </w:r>
      <w:r w:rsidR="004F750C">
        <w:rPr>
          <w:lang w:val="en-US"/>
        </w:rPr>
        <w:t>, which already implies at least 1 MHz of guard band</w:t>
      </w:r>
      <w:r>
        <w:rPr>
          <w:lang w:val="en-US"/>
        </w:rPr>
        <w:t>:</w:t>
      </w:r>
    </w:p>
    <w:p w14:paraId="6C7F9D91" w14:textId="7856538C" w:rsidR="00B32D33" w:rsidRDefault="00B32D33" w:rsidP="00E9647D">
      <w:pPr>
        <w:jc w:val="center"/>
        <w:rPr>
          <w:lang w:val="en-US"/>
        </w:rPr>
      </w:pPr>
      <w:r>
        <w:rPr>
          <w:noProof/>
        </w:rPr>
        <w:drawing>
          <wp:inline distT="0" distB="0" distL="0" distR="0" wp14:anchorId="22D00AD6" wp14:editId="68280F65">
            <wp:extent cx="2733675" cy="324240"/>
            <wp:effectExtent l="38100" t="38100" r="85725" b="95250"/>
            <wp:docPr id="8" name="Picture 8" descr="A black text on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black text on a white background&#10;&#10;Description automatically generated with medium confidence"/>
                    <pic:cNvPicPr/>
                  </pic:nvPicPr>
                  <pic:blipFill>
                    <a:blip r:embed="rId13"/>
                    <a:stretch>
                      <a:fillRect/>
                    </a:stretch>
                  </pic:blipFill>
                  <pic:spPr>
                    <a:xfrm>
                      <a:off x="0" y="0"/>
                      <a:ext cx="2771019" cy="328669"/>
                    </a:xfrm>
                    <a:prstGeom prst="rect">
                      <a:avLst/>
                    </a:prstGeom>
                    <a:effectLst>
                      <a:outerShdw blurRad="50800" dist="38100" dir="2700000" algn="tl" rotWithShape="0">
                        <a:prstClr val="black">
                          <a:alpha val="40000"/>
                        </a:prstClr>
                      </a:outerShdw>
                    </a:effectLst>
                  </pic:spPr>
                </pic:pic>
              </a:graphicData>
            </a:graphic>
          </wp:inline>
        </w:drawing>
      </w:r>
    </w:p>
    <w:p w14:paraId="66BB190C" w14:textId="06C18775" w:rsidR="0002725B" w:rsidRDefault="0002725B" w:rsidP="001703E5">
      <w:pPr>
        <w:rPr>
          <w:lang w:val="en-US"/>
        </w:rPr>
      </w:pPr>
      <w:r>
        <w:rPr>
          <w:lang w:val="en-US"/>
        </w:rPr>
        <w:t>This is further reinforced in ECC Report 299</w:t>
      </w:r>
      <w:r w:rsidR="00CF14BC">
        <w:rPr>
          <w:lang w:val="en-US"/>
        </w:rPr>
        <w:t xml:space="preserve">, which </w:t>
      </w:r>
      <w:r w:rsidR="00AA0386">
        <w:rPr>
          <w:lang w:val="en-US"/>
        </w:rPr>
        <w:t xml:space="preserve">nonetheless </w:t>
      </w:r>
      <w:r w:rsidR="00CF14BC">
        <w:rPr>
          <w:lang w:val="en-US"/>
        </w:rPr>
        <w:t>also confirms the identification of additional blocking requirements for MSS receivers</w:t>
      </w:r>
      <w:r>
        <w:rPr>
          <w:lang w:val="en-US"/>
        </w:rPr>
        <w:t>:</w:t>
      </w:r>
    </w:p>
    <w:p w14:paraId="6ACAE36E" w14:textId="253ABA80" w:rsidR="00CF14BC" w:rsidRDefault="00CF14BC" w:rsidP="00CF14BC">
      <w:pPr>
        <w:jc w:val="center"/>
        <w:rPr>
          <w:lang w:val="en-US"/>
        </w:rPr>
      </w:pPr>
      <w:r>
        <w:rPr>
          <w:noProof/>
        </w:rPr>
        <w:drawing>
          <wp:inline distT="0" distB="0" distL="0" distR="0" wp14:anchorId="591177DF" wp14:editId="527EA45F">
            <wp:extent cx="4807585" cy="763243"/>
            <wp:effectExtent l="38100" t="38100" r="88265" b="94615"/>
            <wp:docPr id="9" name="Picture 9" descr="A picture containing text, font, screenshot, inform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font, screenshot, information&#10;&#10;Description automatically generated"/>
                    <pic:cNvPicPr/>
                  </pic:nvPicPr>
                  <pic:blipFill>
                    <a:blip r:embed="rId14"/>
                    <a:stretch>
                      <a:fillRect/>
                    </a:stretch>
                  </pic:blipFill>
                  <pic:spPr>
                    <a:xfrm>
                      <a:off x="0" y="0"/>
                      <a:ext cx="4830405" cy="766866"/>
                    </a:xfrm>
                    <a:prstGeom prst="rect">
                      <a:avLst/>
                    </a:prstGeom>
                    <a:effectLst>
                      <a:outerShdw blurRad="50800" dist="38100" dir="2700000" algn="tl" rotWithShape="0">
                        <a:prstClr val="black">
                          <a:alpha val="40000"/>
                        </a:prstClr>
                      </a:outerShdw>
                    </a:effectLst>
                  </pic:spPr>
                </pic:pic>
              </a:graphicData>
            </a:graphic>
          </wp:inline>
        </w:drawing>
      </w:r>
    </w:p>
    <w:p w14:paraId="3854D234" w14:textId="2B1B6C9D" w:rsidR="00C46094" w:rsidRDefault="00116F6A" w:rsidP="001703E5">
      <w:pPr>
        <w:rPr>
          <w:lang w:val="en-US"/>
        </w:rPr>
      </w:pPr>
      <w:r>
        <w:rPr>
          <w:lang w:val="en-US"/>
        </w:rPr>
        <w:t>To definitively reinforce this notion</w:t>
      </w:r>
      <w:r w:rsidR="005A66BE">
        <w:rPr>
          <w:lang w:val="en-US"/>
        </w:rPr>
        <w:t xml:space="preserve">, </w:t>
      </w:r>
      <w:r>
        <w:t xml:space="preserve">ECC Decision (17)06 </w:t>
      </w:r>
      <w:r w:rsidR="005A66BE">
        <w:rPr>
          <w:lang w:val="en-US"/>
        </w:rPr>
        <w:t>explicitly specifies a 1 MHz guard band in the band plan for IMT deployment adjacent to MSS operating at 1518 M</w:t>
      </w:r>
      <w:r>
        <w:rPr>
          <w:lang w:val="en-US"/>
        </w:rPr>
        <w:t>H</w:t>
      </w:r>
      <w:r w:rsidR="005A66BE">
        <w:rPr>
          <w:lang w:val="en-US"/>
        </w:rPr>
        <w:t>z</w:t>
      </w:r>
      <w:r w:rsidR="0045105C">
        <w:rPr>
          <w:lang w:val="en-US"/>
        </w:rPr>
        <w:t>, and specifies restricted base station transmit power in the 1512-1517 MHz channel(s)</w:t>
      </w:r>
      <w:r w:rsidR="005A66BE">
        <w:rPr>
          <w:lang w:val="en-US"/>
        </w:rPr>
        <w:t>:</w:t>
      </w:r>
    </w:p>
    <w:p w14:paraId="67154CC5" w14:textId="4A25E50D" w:rsidR="005A66BE" w:rsidRDefault="005A66BE" w:rsidP="005A66BE">
      <w:pPr>
        <w:jc w:val="center"/>
        <w:rPr>
          <w:lang w:val="en-US"/>
        </w:rPr>
      </w:pPr>
      <w:r>
        <w:rPr>
          <w:noProof/>
        </w:rPr>
        <w:drawing>
          <wp:inline distT="0" distB="0" distL="0" distR="0" wp14:anchorId="37C83C65" wp14:editId="5AA0A8EA">
            <wp:extent cx="3895725" cy="1176757"/>
            <wp:effectExtent l="0" t="0" r="0" b="4445"/>
            <wp:docPr id="10" name="Picture 10"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screenshot, font, line&#10;&#10;Description automatically generated"/>
                    <pic:cNvPicPr/>
                  </pic:nvPicPr>
                  <pic:blipFill>
                    <a:blip r:embed="rId15"/>
                    <a:stretch>
                      <a:fillRect/>
                    </a:stretch>
                  </pic:blipFill>
                  <pic:spPr>
                    <a:xfrm>
                      <a:off x="0" y="0"/>
                      <a:ext cx="3908631" cy="1180655"/>
                    </a:xfrm>
                    <a:prstGeom prst="rect">
                      <a:avLst/>
                    </a:prstGeom>
                  </pic:spPr>
                </pic:pic>
              </a:graphicData>
            </a:graphic>
          </wp:inline>
        </w:drawing>
      </w:r>
    </w:p>
    <w:p w14:paraId="2B22606A" w14:textId="11BA8F7F" w:rsidR="004F730D" w:rsidRDefault="004F730D" w:rsidP="004F730D">
      <w:pPr>
        <w:jc w:val="center"/>
        <w:rPr>
          <w:lang w:val="en-US"/>
        </w:rPr>
      </w:pPr>
      <w:r>
        <w:rPr>
          <w:noProof/>
        </w:rPr>
        <w:drawing>
          <wp:inline distT="0" distB="0" distL="0" distR="0" wp14:anchorId="3D1FBB20" wp14:editId="16C3C33A">
            <wp:extent cx="4463186" cy="768350"/>
            <wp:effectExtent l="0" t="0" r="0" b="0"/>
            <wp:docPr id="12" name="Picture 12"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picture containing text, screenshot, font, line&#10;&#10;Description automatically generated"/>
                    <pic:cNvPicPr/>
                  </pic:nvPicPr>
                  <pic:blipFill>
                    <a:blip r:embed="rId16"/>
                    <a:stretch>
                      <a:fillRect/>
                    </a:stretch>
                  </pic:blipFill>
                  <pic:spPr>
                    <a:xfrm>
                      <a:off x="0" y="0"/>
                      <a:ext cx="4552482" cy="783723"/>
                    </a:xfrm>
                    <a:prstGeom prst="rect">
                      <a:avLst/>
                    </a:prstGeom>
                  </pic:spPr>
                </pic:pic>
              </a:graphicData>
            </a:graphic>
          </wp:inline>
        </w:drawing>
      </w:r>
    </w:p>
    <w:p w14:paraId="16EB3888" w14:textId="76785DED" w:rsidR="004F730D" w:rsidRDefault="004F730D" w:rsidP="001703E5">
      <w:pPr>
        <w:rPr>
          <w:lang w:val="en-US"/>
        </w:rPr>
      </w:pPr>
      <w:r>
        <w:rPr>
          <w:lang w:val="en-US"/>
        </w:rPr>
        <w:t>With corresponding out-of-block EIRP limits above 1518 MHz:</w:t>
      </w:r>
    </w:p>
    <w:p w14:paraId="0D8BE690" w14:textId="60D999B9" w:rsidR="000D07E8" w:rsidRDefault="000D07E8" w:rsidP="004F730D">
      <w:pPr>
        <w:jc w:val="center"/>
        <w:rPr>
          <w:lang w:val="en-US"/>
        </w:rPr>
      </w:pPr>
      <w:r>
        <w:rPr>
          <w:noProof/>
        </w:rPr>
        <w:drawing>
          <wp:inline distT="0" distB="0" distL="0" distR="0" wp14:anchorId="60D083AA" wp14:editId="1780161E">
            <wp:extent cx="3455035" cy="829051"/>
            <wp:effectExtent l="0" t="0" r="0" b="9525"/>
            <wp:docPr id="11" name="Picture 11"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 screenshot, font, line&#10;&#10;Description automatically generated"/>
                    <pic:cNvPicPr/>
                  </pic:nvPicPr>
                  <pic:blipFill>
                    <a:blip r:embed="rId17"/>
                    <a:stretch>
                      <a:fillRect/>
                    </a:stretch>
                  </pic:blipFill>
                  <pic:spPr>
                    <a:xfrm>
                      <a:off x="0" y="0"/>
                      <a:ext cx="3469707" cy="832572"/>
                    </a:xfrm>
                    <a:prstGeom prst="rect">
                      <a:avLst/>
                    </a:prstGeom>
                  </pic:spPr>
                </pic:pic>
              </a:graphicData>
            </a:graphic>
          </wp:inline>
        </w:drawing>
      </w:r>
    </w:p>
    <w:p w14:paraId="3D1CC9B8" w14:textId="77777777" w:rsidR="00006028" w:rsidRDefault="00006028" w:rsidP="001703E5">
      <w:pPr>
        <w:rPr>
          <w:b/>
          <w:bCs/>
          <w:lang w:val="en-US"/>
        </w:rPr>
      </w:pPr>
    </w:p>
    <w:p w14:paraId="7388FB2F" w14:textId="6999674C" w:rsidR="00006028" w:rsidRDefault="00006028" w:rsidP="001703E5">
      <w:pPr>
        <w:rPr>
          <w:lang w:val="en-US"/>
        </w:rPr>
      </w:pPr>
      <w:r>
        <w:rPr>
          <w:b/>
          <w:bCs/>
          <w:lang w:val="en-US"/>
        </w:rPr>
        <w:t xml:space="preserve">Observation 3: </w:t>
      </w:r>
      <w:r w:rsidRPr="00155346">
        <w:rPr>
          <w:b/>
          <w:bCs/>
          <w:lang w:val="en-US"/>
        </w:rPr>
        <w:t xml:space="preserve">ECC Reports 263, 299 and ECC Decision (17)06 </w:t>
      </w:r>
      <w:r>
        <w:rPr>
          <w:b/>
          <w:bCs/>
          <w:lang w:val="en-US"/>
        </w:rPr>
        <w:t>note that the</w:t>
      </w:r>
      <w:r w:rsidRPr="00155346">
        <w:rPr>
          <w:b/>
          <w:bCs/>
          <w:lang w:val="en-US"/>
        </w:rPr>
        <w:t xml:space="preserve"> IMT block end</w:t>
      </w:r>
      <w:r>
        <w:rPr>
          <w:b/>
          <w:bCs/>
          <w:lang w:val="en-US"/>
        </w:rPr>
        <w:t>s</w:t>
      </w:r>
      <w:r w:rsidRPr="00155346">
        <w:rPr>
          <w:b/>
          <w:bCs/>
          <w:lang w:val="en-US"/>
        </w:rPr>
        <w:t xml:space="preserve"> at 1517 MHz and stipulate a baseline guard band with MSS of 1 MHz in the 1517-1518 MHz range.</w:t>
      </w:r>
    </w:p>
    <w:p w14:paraId="759F1E4A" w14:textId="69193BED" w:rsidR="00B2642E" w:rsidRDefault="00B32D33" w:rsidP="001703E5">
      <w:pPr>
        <w:rPr>
          <w:lang w:val="en-US"/>
        </w:rPr>
      </w:pPr>
      <w:r>
        <w:rPr>
          <w:lang w:val="en-US"/>
        </w:rPr>
        <w:t xml:space="preserve">Furthermore, in every considered simulation assumption, </w:t>
      </w:r>
      <w:r w:rsidR="00155267">
        <w:rPr>
          <w:lang w:val="en-US"/>
        </w:rPr>
        <w:t>ECC Report 263</w:t>
      </w:r>
      <w:r w:rsidR="007C67EE">
        <w:rPr>
          <w:lang w:val="en-US"/>
        </w:rPr>
        <w:t xml:space="preserve"> </w:t>
      </w:r>
      <w:r w:rsidR="00155267">
        <w:rPr>
          <w:lang w:val="en-US"/>
        </w:rPr>
        <w:t>always considers IMT base station transmission below 1518 MHz at 1, 3 and 6 MHz frequency separation</w:t>
      </w:r>
      <w:r w:rsidR="0005046C">
        <w:rPr>
          <w:lang w:val="en-US"/>
        </w:rPr>
        <w:t xml:space="preserve"> away from</w:t>
      </w:r>
      <w:r w:rsidR="00E111DC">
        <w:rPr>
          <w:lang w:val="en-US"/>
        </w:rPr>
        <w:t xml:space="preserve"> 1518 MHz boundary</w:t>
      </w:r>
      <w:r w:rsidR="00155267">
        <w:rPr>
          <w:lang w:val="en-US"/>
        </w:rPr>
        <w:t xml:space="preserve">, </w:t>
      </w:r>
      <w:r w:rsidR="004F750C">
        <w:rPr>
          <w:lang w:val="en-US"/>
        </w:rPr>
        <w:t>while MSS is assumed to be starting at 1518 MHz, in line with ITU-R and WRC recommendations.</w:t>
      </w:r>
    </w:p>
    <w:p w14:paraId="0F306ECA" w14:textId="446B0429" w:rsidR="00162F81" w:rsidRDefault="00B656C3" w:rsidP="00E9647D">
      <w:pPr>
        <w:jc w:val="center"/>
        <w:rPr>
          <w:lang w:val="en-US"/>
        </w:rPr>
      </w:pPr>
      <w:r>
        <w:rPr>
          <w:noProof/>
        </w:rPr>
        <w:lastRenderedPageBreak/>
        <w:drawing>
          <wp:inline distT="0" distB="0" distL="0" distR="0" wp14:anchorId="1441DDBA" wp14:editId="596467BA">
            <wp:extent cx="6115685" cy="461645"/>
            <wp:effectExtent l="38100" t="38100" r="94615" b="908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15685" cy="461645"/>
                    </a:xfrm>
                    <a:prstGeom prst="rect">
                      <a:avLst/>
                    </a:prstGeom>
                    <a:effectLst>
                      <a:outerShdw blurRad="50800" dist="38100" dir="2700000" algn="tl" rotWithShape="0">
                        <a:prstClr val="black">
                          <a:alpha val="40000"/>
                        </a:prstClr>
                      </a:outerShdw>
                    </a:effectLst>
                  </pic:spPr>
                </pic:pic>
              </a:graphicData>
            </a:graphic>
          </wp:inline>
        </w:drawing>
      </w:r>
    </w:p>
    <w:p w14:paraId="0C39300F" w14:textId="3E0C41F4" w:rsidR="00006028" w:rsidRDefault="00162F81" w:rsidP="001703E5">
      <w:pPr>
        <w:rPr>
          <w:lang w:val="en-US"/>
        </w:rPr>
      </w:pPr>
      <w:r>
        <w:rPr>
          <w:noProof/>
        </w:rPr>
        <w:drawing>
          <wp:inline distT="0" distB="0" distL="0" distR="0" wp14:anchorId="156995A2" wp14:editId="2B84462E">
            <wp:extent cx="6115685" cy="420370"/>
            <wp:effectExtent l="38100" t="38100" r="94615" b="939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15685" cy="420370"/>
                    </a:xfrm>
                    <a:prstGeom prst="rect">
                      <a:avLst/>
                    </a:prstGeom>
                    <a:effectLst>
                      <a:outerShdw blurRad="50800" dist="38100" dir="2700000" algn="tl" rotWithShape="0">
                        <a:prstClr val="black">
                          <a:alpha val="40000"/>
                        </a:prstClr>
                      </a:outerShdw>
                    </a:effectLst>
                  </pic:spPr>
                </pic:pic>
              </a:graphicData>
            </a:graphic>
          </wp:inline>
        </w:drawing>
      </w:r>
    </w:p>
    <w:p w14:paraId="494B4AFC" w14:textId="2FBAC9D2" w:rsidR="00006028" w:rsidRDefault="00006028" w:rsidP="001703E5">
      <w:pPr>
        <w:rPr>
          <w:lang w:val="en-US"/>
        </w:rPr>
      </w:pPr>
      <w:r>
        <w:rPr>
          <w:b/>
          <w:bCs/>
          <w:lang w:val="en-US"/>
        </w:rPr>
        <w:t xml:space="preserve">Observation 4: </w:t>
      </w:r>
      <w:r w:rsidRPr="00155346">
        <w:rPr>
          <w:b/>
          <w:bCs/>
          <w:lang w:val="en-US"/>
        </w:rPr>
        <w:t>ECC Report 263 studies always assume IMT base stations operating at frequency offsets of 1, 3 and 6 MHz below 1518 MHz with the MSS MES operat</w:t>
      </w:r>
      <w:r>
        <w:rPr>
          <w:b/>
          <w:bCs/>
          <w:lang w:val="en-US"/>
        </w:rPr>
        <w:t>ion starting from 1518 MHz, with a first 200 kHz channel</w:t>
      </w:r>
      <w:r w:rsidRPr="00155346">
        <w:rPr>
          <w:b/>
          <w:bCs/>
          <w:lang w:val="en-US"/>
        </w:rPr>
        <w:t xml:space="preserve"> at 1518.1 MHz, thereby no recommendation is made to introduce any guard band within the MSS band.</w:t>
      </w:r>
    </w:p>
    <w:p w14:paraId="4D0064D5" w14:textId="08F565B3" w:rsidR="00734BE9" w:rsidRDefault="00734BE9" w:rsidP="001703E5">
      <w:pPr>
        <w:rPr>
          <w:lang w:val="en-US"/>
        </w:rPr>
      </w:pPr>
      <w:r>
        <w:rPr>
          <w:lang w:val="en-US"/>
        </w:rPr>
        <w:t>In further addition, ECC Report 299 recommends additional PFD limits on</w:t>
      </w:r>
      <w:r w:rsidR="00AB4C67">
        <w:rPr>
          <w:lang w:val="en-US"/>
        </w:rPr>
        <w:t xml:space="preserve"> base stations operating in</w:t>
      </w:r>
      <w:r w:rsidR="00703FAC">
        <w:rPr>
          <w:lang w:val="en-US"/>
        </w:rPr>
        <w:t xml:space="preserve"> the frequency band ending at 1517 MHz to provide additional protections to MSS terminals </w:t>
      </w:r>
      <w:r w:rsidR="00D60150">
        <w:rPr>
          <w:lang w:val="en-US"/>
        </w:rPr>
        <w:t>operating in airports and seaports [9].</w:t>
      </w:r>
    </w:p>
    <w:p w14:paraId="57426EB7" w14:textId="56086840" w:rsidR="00AE6BE7" w:rsidRPr="00AE6BE7" w:rsidRDefault="00AE6BE7" w:rsidP="00AE6BE7">
      <w:pPr>
        <w:rPr>
          <w:b/>
          <w:bCs/>
          <w:lang w:val="en-US"/>
        </w:rPr>
      </w:pPr>
      <w:r w:rsidRPr="00AE6BE7">
        <w:rPr>
          <w:b/>
          <w:bCs/>
          <w:lang w:val="en-US"/>
        </w:rPr>
        <w:t xml:space="preserve">Observation </w:t>
      </w:r>
      <w:r w:rsidR="00006028">
        <w:rPr>
          <w:b/>
          <w:bCs/>
          <w:lang w:val="en-US"/>
        </w:rPr>
        <w:t>5</w:t>
      </w:r>
      <w:r w:rsidRPr="00AE6BE7">
        <w:rPr>
          <w:b/>
          <w:bCs/>
          <w:lang w:val="en-US"/>
        </w:rPr>
        <w:t>:</w:t>
      </w:r>
      <w:r w:rsidRPr="00AE6BE7">
        <w:rPr>
          <w:b/>
          <w:bCs/>
          <w:lang w:val="en-US"/>
        </w:rPr>
        <w:tab/>
        <w:t>ECC Report 299 recommends even further PFD limits on base stations operating in the frequency band ending at 1517 MHz to provide additional protections to MSS terminals operating in airports and seaports.</w:t>
      </w:r>
    </w:p>
    <w:p w14:paraId="089425AB" w14:textId="55C7B069" w:rsidR="001367F9" w:rsidRDefault="0056591A" w:rsidP="001703E5">
      <w:pPr>
        <w:rPr>
          <w:lang w:val="en-US"/>
        </w:rPr>
      </w:pPr>
      <w:r>
        <w:rPr>
          <w:lang w:val="en-US"/>
        </w:rPr>
        <w:t xml:space="preserve">We can therefore conclude that no regulatory background exists, certainly not within the ECC regulatory framework, to warrant the introduction of any guard band within, or reduction of the frequency range of, the </w:t>
      </w:r>
      <w:r w:rsidR="00632651">
        <w:rPr>
          <w:lang w:val="en-US"/>
        </w:rPr>
        <w:t>NTN Extended L-band D</w:t>
      </w:r>
      <w:r w:rsidR="00C7305A">
        <w:rPr>
          <w:lang w:val="en-US"/>
        </w:rPr>
        <w:t>L</w:t>
      </w:r>
      <w:r w:rsidR="00632651">
        <w:rPr>
          <w:lang w:val="en-US"/>
        </w:rPr>
        <w:t>.</w:t>
      </w:r>
    </w:p>
    <w:p w14:paraId="68C78B9A" w14:textId="2AEB8978" w:rsidR="00AE6BE7" w:rsidRPr="00AE6BE7" w:rsidRDefault="00AE6BE7" w:rsidP="001703E5">
      <w:pPr>
        <w:rPr>
          <w:b/>
          <w:bCs/>
          <w:lang w:val="en-US"/>
        </w:rPr>
      </w:pPr>
      <w:r w:rsidRPr="00AE6BE7">
        <w:rPr>
          <w:b/>
          <w:bCs/>
          <w:lang w:val="en-US"/>
        </w:rPr>
        <w:t xml:space="preserve">Observation </w:t>
      </w:r>
      <w:r w:rsidR="00006028">
        <w:rPr>
          <w:b/>
          <w:bCs/>
          <w:lang w:val="en-US"/>
        </w:rPr>
        <w:t>6</w:t>
      </w:r>
      <w:r w:rsidRPr="00AE6BE7">
        <w:rPr>
          <w:b/>
          <w:bCs/>
          <w:lang w:val="en-US"/>
        </w:rPr>
        <w:t>:</w:t>
      </w:r>
      <w:r w:rsidRPr="00AE6BE7">
        <w:rPr>
          <w:b/>
          <w:bCs/>
          <w:lang w:val="en-US"/>
        </w:rPr>
        <w:tab/>
        <w:t>From previous observations, we can conclude that the introduction of any guard band in the new NTN Extended L-band is not aligned with regulation, and moreover not warranted.</w:t>
      </w:r>
    </w:p>
    <w:p w14:paraId="3CF65E50" w14:textId="28EAA140" w:rsidR="000454A3" w:rsidRDefault="000454A3" w:rsidP="001703E5">
      <w:pPr>
        <w:rPr>
          <w:lang w:val="en-US"/>
        </w:rPr>
      </w:pPr>
      <w:r>
        <w:rPr>
          <w:lang w:val="en-US"/>
        </w:rPr>
        <w:t xml:space="preserve">We therefore propose that the following frequency range </w:t>
      </w:r>
      <w:r w:rsidR="00B84D23">
        <w:rPr>
          <w:lang w:val="en-US"/>
        </w:rPr>
        <w:t>is agreed for NTN Extended L-band:</w:t>
      </w:r>
    </w:p>
    <w:p w14:paraId="36B3A9C6" w14:textId="75608C5E" w:rsidR="000454A3" w:rsidRDefault="00B84D23" w:rsidP="001703E5">
      <w:pPr>
        <w:rPr>
          <w:b/>
          <w:bCs/>
          <w:lang w:val="en-US"/>
        </w:rPr>
      </w:pPr>
      <w:r w:rsidRPr="00B84D23">
        <w:rPr>
          <w:b/>
          <w:bCs/>
          <w:lang w:val="en-US"/>
        </w:rPr>
        <w:t xml:space="preserve">Proposal </w:t>
      </w:r>
      <w:r w:rsidR="002126C8">
        <w:rPr>
          <w:b/>
          <w:bCs/>
          <w:lang w:val="en-US"/>
        </w:rPr>
        <w:t>1</w:t>
      </w:r>
      <w:r w:rsidRPr="00B84D23">
        <w:rPr>
          <w:b/>
          <w:bCs/>
          <w:lang w:val="en-US"/>
        </w:rPr>
        <w:t>:</w:t>
      </w:r>
      <w:r w:rsidRPr="00B84D23">
        <w:rPr>
          <w:b/>
          <w:bCs/>
          <w:lang w:val="en-US"/>
        </w:rPr>
        <w:tab/>
        <w:t>Agree specification of NTN Extended L-band DL frequency range from 1518-1525 MHz, in line with ITU-R, WRC and country regulations, as per table below.</w:t>
      </w:r>
    </w:p>
    <w:p w14:paraId="626CE752" w14:textId="77777777" w:rsidR="00B84D23" w:rsidRDefault="00B84D23" w:rsidP="00B84D23">
      <w:pPr>
        <w:pStyle w:val="ListParagraph"/>
        <w:overflowPunct/>
        <w:autoSpaceDE/>
        <w:autoSpaceDN/>
        <w:adjustRightInd/>
        <w:spacing w:after="120"/>
        <w:ind w:left="2348"/>
        <w:contextualSpacing w:val="0"/>
        <w:textAlignment w:val="auto"/>
        <w:rPr>
          <w:rFonts w:eastAsia="SimSun"/>
          <w:color w:val="0070C0"/>
          <w:szCs w:val="24"/>
          <w:lang w:val="en-US" w:eastAsia="zh-CN"/>
        </w:rPr>
      </w:pPr>
      <w:r>
        <w:t xml:space="preserve">Table </w:t>
      </w:r>
      <w:r>
        <w:rPr>
          <w:rFonts w:hint="eastAsia"/>
          <w:lang w:val="en-US" w:eastAsia="zh-CN"/>
        </w:rPr>
        <w:t>2</w:t>
      </w:r>
      <w:r>
        <w:t>.</w:t>
      </w:r>
      <w:r>
        <w:rPr>
          <w:rFonts w:hint="eastAsia"/>
          <w:lang w:val="en-US" w:eastAsia="zh-CN"/>
        </w:rPr>
        <w:t>1</w:t>
      </w:r>
      <w:r>
        <w:t>-1: E-UTRA operating bands for satellite access</w:t>
      </w:r>
    </w:p>
    <w:tbl>
      <w:tblPr>
        <w:tblW w:w="7123" w:type="dxa"/>
        <w:jc w:val="center"/>
        <w:tblLook w:val="04A0" w:firstRow="1" w:lastRow="0" w:firstColumn="1" w:lastColumn="0" w:noHBand="0" w:noVBand="1"/>
      </w:tblPr>
      <w:tblGrid>
        <w:gridCol w:w="1298"/>
        <w:gridCol w:w="1043"/>
        <w:gridCol w:w="444"/>
        <w:gridCol w:w="1080"/>
        <w:gridCol w:w="1091"/>
        <w:gridCol w:w="438"/>
        <w:gridCol w:w="912"/>
        <w:gridCol w:w="817"/>
      </w:tblGrid>
      <w:tr w:rsidR="00B84D23" w14:paraId="5259F82B" w14:textId="77777777" w:rsidTr="00A860A3">
        <w:trPr>
          <w:trHeight w:val="677"/>
          <w:jc w:val="center"/>
        </w:trPr>
        <w:tc>
          <w:tcPr>
            <w:tcW w:w="1305" w:type="dxa"/>
            <w:vMerge w:val="restart"/>
            <w:tcBorders>
              <w:top w:val="single" w:sz="4" w:space="0" w:color="auto"/>
              <w:left w:val="single" w:sz="4" w:space="0" w:color="auto"/>
              <w:right w:val="single" w:sz="4" w:space="0" w:color="auto"/>
            </w:tcBorders>
            <w:vAlign w:val="center"/>
          </w:tcPr>
          <w:p w14:paraId="06F32735" w14:textId="77777777" w:rsidR="00B84D23" w:rsidRDefault="00B84D23" w:rsidP="00A860A3">
            <w:pPr>
              <w:pStyle w:val="TAH"/>
              <w:rPr>
                <w:rFonts w:cs="Arial"/>
              </w:rPr>
            </w:pPr>
            <w:r>
              <w:rPr>
                <w:rFonts w:cs="Arial"/>
              </w:rPr>
              <w:t>E</w:t>
            </w:r>
            <w:r>
              <w:rPr>
                <w:rFonts w:cs="Arial"/>
              </w:rPr>
              <w:noBreakHyphen/>
              <w:t>UTRA Operating Band</w:t>
            </w: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3933DDBE" w14:textId="77777777" w:rsidR="00B84D23" w:rsidRPr="000D4E91" w:rsidRDefault="00B84D23" w:rsidP="00A860A3">
            <w:pPr>
              <w:pStyle w:val="TAH"/>
              <w:rPr>
                <w:rFonts w:cs="Arial"/>
                <w:lang w:val="en-US"/>
              </w:rPr>
            </w:pPr>
            <w:r w:rsidRPr="000D4E91">
              <w:rPr>
                <w:rFonts w:cs="Arial"/>
                <w:lang w:val="en-US"/>
              </w:rPr>
              <w:t>Uplink (UL) operating band</w:t>
            </w:r>
            <w:r w:rsidRPr="000D4E91">
              <w:rPr>
                <w:rFonts w:cs="Arial"/>
                <w:lang w:val="en-US"/>
              </w:rPr>
              <w:br/>
              <w:t>BS receive</w:t>
            </w:r>
            <w:r w:rsidRPr="000D4E91">
              <w:rPr>
                <w:rFonts w:cs="Arial"/>
                <w:lang w:val="en-US"/>
              </w:rPr>
              <w:br/>
              <w:t>UE transmit</w:t>
            </w:r>
          </w:p>
        </w:tc>
        <w:tc>
          <w:tcPr>
            <w:tcW w:w="2464" w:type="dxa"/>
            <w:gridSpan w:val="3"/>
            <w:tcBorders>
              <w:top w:val="single" w:sz="4" w:space="0" w:color="auto"/>
              <w:bottom w:val="single" w:sz="4" w:space="0" w:color="auto"/>
              <w:right w:val="single" w:sz="4" w:space="0" w:color="auto"/>
            </w:tcBorders>
            <w:vAlign w:val="center"/>
          </w:tcPr>
          <w:p w14:paraId="15CE926D" w14:textId="77777777" w:rsidR="00B84D23" w:rsidRPr="000D4E91" w:rsidRDefault="00B84D23" w:rsidP="00A860A3">
            <w:pPr>
              <w:pStyle w:val="TAH"/>
              <w:rPr>
                <w:rFonts w:cs="Arial"/>
                <w:lang w:val="en-US"/>
              </w:rPr>
            </w:pPr>
            <w:r w:rsidRPr="000D4E91">
              <w:rPr>
                <w:rFonts w:cs="Arial"/>
                <w:lang w:val="en-US"/>
              </w:rPr>
              <w:t>Downlink (DL) operating band</w:t>
            </w:r>
            <w:r w:rsidRPr="000D4E91">
              <w:rPr>
                <w:rFonts w:cs="Arial"/>
                <w:lang w:val="en-US"/>
              </w:rPr>
              <w:br/>
              <w:t xml:space="preserve">BS transmit </w:t>
            </w:r>
            <w:r w:rsidRPr="000D4E91">
              <w:rPr>
                <w:rFonts w:cs="Arial"/>
                <w:lang w:val="en-US"/>
              </w:rPr>
              <w:br/>
              <w:t>UE receive</w:t>
            </w:r>
          </w:p>
        </w:tc>
        <w:tc>
          <w:tcPr>
            <w:tcW w:w="753" w:type="dxa"/>
            <w:vMerge w:val="restart"/>
            <w:tcBorders>
              <w:top w:val="single" w:sz="4" w:space="0" w:color="auto"/>
              <w:left w:val="single" w:sz="4" w:space="0" w:color="auto"/>
              <w:right w:val="single" w:sz="4" w:space="0" w:color="auto"/>
            </w:tcBorders>
          </w:tcPr>
          <w:p w14:paraId="30D40F41" w14:textId="77777777" w:rsidR="00B84D23" w:rsidRDefault="00B84D23" w:rsidP="00A860A3">
            <w:pPr>
              <w:pStyle w:val="TAH"/>
              <w:rPr>
                <w:rFonts w:cs="Arial"/>
              </w:rPr>
            </w:pPr>
            <w:r>
              <w:rPr>
                <w:rFonts w:cs="Arial"/>
              </w:rPr>
              <w:t>Duplex Mode</w:t>
            </w:r>
          </w:p>
        </w:tc>
      </w:tr>
      <w:tr w:rsidR="00B84D23" w14:paraId="47C50D39" w14:textId="77777777" w:rsidTr="00A860A3">
        <w:trPr>
          <w:trHeight w:val="157"/>
          <w:jc w:val="center"/>
        </w:trPr>
        <w:tc>
          <w:tcPr>
            <w:tcW w:w="1305" w:type="dxa"/>
            <w:vMerge/>
            <w:tcBorders>
              <w:left w:val="single" w:sz="4" w:space="0" w:color="auto"/>
              <w:bottom w:val="single" w:sz="4" w:space="0" w:color="auto"/>
              <w:right w:val="single" w:sz="4" w:space="0" w:color="auto"/>
            </w:tcBorders>
            <w:vAlign w:val="center"/>
          </w:tcPr>
          <w:p w14:paraId="6092755E" w14:textId="77777777" w:rsidR="00B84D23" w:rsidRDefault="00B84D23" w:rsidP="00A860A3">
            <w:pPr>
              <w:pStyle w:val="TAH"/>
              <w:rPr>
                <w:rFonts w:cs="Arial"/>
              </w:rPr>
            </w:pP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6DAD78A1" w14:textId="77777777" w:rsidR="00B84D23" w:rsidRPr="000D4E91" w:rsidRDefault="00B84D23" w:rsidP="00A860A3">
            <w:pPr>
              <w:pStyle w:val="TAH"/>
              <w:rPr>
                <w:rFonts w:cs="Arial"/>
                <w:lang w:val="en-US"/>
              </w:rPr>
            </w:pPr>
            <w:r w:rsidRPr="000D4E91">
              <w:rPr>
                <w:rFonts w:cs="Arial"/>
                <w:lang w:val="en-US"/>
              </w:rPr>
              <w:t>F</w:t>
            </w:r>
            <w:r w:rsidRPr="000D4E91">
              <w:rPr>
                <w:rFonts w:cs="Arial"/>
                <w:vertAlign w:val="subscript"/>
                <w:lang w:val="en-US"/>
              </w:rPr>
              <w:t>UL_low</w:t>
            </w:r>
            <w:r w:rsidRPr="000D4E91">
              <w:rPr>
                <w:rFonts w:cs="Arial"/>
                <w:lang w:val="en-US"/>
              </w:rPr>
              <w:t xml:space="preserve">   –  F</w:t>
            </w:r>
            <w:r w:rsidRPr="000D4E91">
              <w:rPr>
                <w:rFonts w:cs="Arial"/>
                <w:vertAlign w:val="subscript"/>
                <w:lang w:val="en-US"/>
              </w:rPr>
              <w:t>UL_high</w:t>
            </w:r>
          </w:p>
        </w:tc>
        <w:tc>
          <w:tcPr>
            <w:tcW w:w="2464" w:type="dxa"/>
            <w:gridSpan w:val="3"/>
            <w:tcBorders>
              <w:top w:val="single" w:sz="4" w:space="0" w:color="auto"/>
              <w:bottom w:val="single" w:sz="4" w:space="0" w:color="auto"/>
              <w:right w:val="single" w:sz="4" w:space="0" w:color="auto"/>
            </w:tcBorders>
            <w:vAlign w:val="center"/>
          </w:tcPr>
          <w:p w14:paraId="32F99E64" w14:textId="77777777" w:rsidR="00B84D23" w:rsidRPr="000D4E91" w:rsidRDefault="00B84D23" w:rsidP="00A860A3">
            <w:pPr>
              <w:pStyle w:val="TAH"/>
              <w:rPr>
                <w:rFonts w:cs="Arial"/>
                <w:lang w:val="en-US"/>
              </w:rPr>
            </w:pPr>
            <w:r w:rsidRPr="000D4E91">
              <w:rPr>
                <w:rFonts w:cs="Arial"/>
                <w:lang w:val="en-US"/>
              </w:rPr>
              <w:t>F</w:t>
            </w:r>
            <w:r w:rsidRPr="000D4E91">
              <w:rPr>
                <w:rFonts w:cs="Arial"/>
                <w:vertAlign w:val="subscript"/>
                <w:lang w:val="en-US"/>
              </w:rPr>
              <w:t>DL_low</w:t>
            </w:r>
            <w:r w:rsidRPr="000D4E91">
              <w:rPr>
                <w:rFonts w:cs="Arial"/>
                <w:lang w:val="en-US"/>
              </w:rPr>
              <w:t xml:space="preserve">  –  F</w:t>
            </w:r>
            <w:r w:rsidRPr="000D4E91">
              <w:rPr>
                <w:rFonts w:cs="Arial"/>
                <w:vertAlign w:val="subscript"/>
                <w:lang w:val="en-US"/>
              </w:rPr>
              <w:t>DL_high</w:t>
            </w:r>
          </w:p>
        </w:tc>
        <w:tc>
          <w:tcPr>
            <w:tcW w:w="753" w:type="dxa"/>
            <w:vMerge/>
            <w:tcBorders>
              <w:left w:val="single" w:sz="4" w:space="0" w:color="auto"/>
              <w:bottom w:val="single" w:sz="4" w:space="0" w:color="auto"/>
              <w:right w:val="single" w:sz="4" w:space="0" w:color="auto"/>
            </w:tcBorders>
          </w:tcPr>
          <w:p w14:paraId="2D3E3D5E" w14:textId="77777777" w:rsidR="00B84D23" w:rsidRPr="000D4E91" w:rsidRDefault="00B84D23" w:rsidP="00A860A3">
            <w:pPr>
              <w:pStyle w:val="TAC"/>
              <w:rPr>
                <w:rFonts w:cs="Arial"/>
                <w:lang w:val="en-US"/>
              </w:rPr>
            </w:pPr>
          </w:p>
        </w:tc>
      </w:tr>
      <w:tr w:rsidR="00B84D23" w14:paraId="68073971" w14:textId="77777777" w:rsidTr="00A860A3">
        <w:trPr>
          <w:trHeight w:val="214"/>
          <w:jc w:val="center"/>
        </w:trPr>
        <w:tc>
          <w:tcPr>
            <w:tcW w:w="1305" w:type="dxa"/>
            <w:tcBorders>
              <w:top w:val="single" w:sz="4" w:space="0" w:color="auto"/>
              <w:left w:val="single" w:sz="4" w:space="0" w:color="auto"/>
              <w:bottom w:val="single" w:sz="4" w:space="0" w:color="auto"/>
              <w:right w:val="single" w:sz="4" w:space="0" w:color="auto"/>
            </w:tcBorders>
          </w:tcPr>
          <w:p w14:paraId="6D9927E2" w14:textId="2CDCC5D0" w:rsidR="00B84D23" w:rsidRDefault="00B84D23" w:rsidP="00A860A3">
            <w:pPr>
              <w:pStyle w:val="TAC"/>
              <w:rPr>
                <w:rFonts w:cs="Arial"/>
                <w:lang w:val="en-US" w:eastAsia="zh-CN"/>
              </w:rPr>
            </w:pPr>
            <w:r>
              <w:rPr>
                <w:rFonts w:cs="Arial"/>
              </w:rPr>
              <w:t>25</w:t>
            </w:r>
            <w:r>
              <w:rPr>
                <w:rFonts w:cs="Arial" w:hint="eastAsia"/>
                <w:lang w:val="en-US" w:eastAsia="zh-CN"/>
              </w:rPr>
              <w:t>3</w:t>
            </w:r>
          </w:p>
        </w:tc>
        <w:tc>
          <w:tcPr>
            <w:tcW w:w="1061" w:type="dxa"/>
            <w:tcBorders>
              <w:top w:val="single" w:sz="4" w:space="0" w:color="auto"/>
              <w:left w:val="single" w:sz="4" w:space="0" w:color="auto"/>
              <w:bottom w:val="single" w:sz="4" w:space="0" w:color="auto"/>
              <w:right w:val="nil"/>
            </w:tcBorders>
          </w:tcPr>
          <w:p w14:paraId="279C03B0" w14:textId="77777777" w:rsidR="00B84D23" w:rsidRDefault="00B84D23" w:rsidP="00A860A3">
            <w:pPr>
              <w:pStyle w:val="TAR"/>
              <w:wordWrap w:val="0"/>
              <w:rPr>
                <w:rFonts w:cs="Arial"/>
                <w:lang w:eastAsia="zh-CN"/>
              </w:rPr>
            </w:pPr>
            <w:r>
              <w:rPr>
                <w:rFonts w:cs="Arial" w:hint="eastAsia"/>
                <w:lang w:val="en-US" w:eastAsia="zh-CN"/>
              </w:rPr>
              <w:t>1668</w:t>
            </w:r>
            <w:r>
              <w:rPr>
                <w:rFonts w:cs="Arial"/>
                <w:lang w:eastAsia="zh-CN"/>
              </w:rPr>
              <w:t xml:space="preserve"> MHz</w:t>
            </w:r>
          </w:p>
        </w:tc>
        <w:tc>
          <w:tcPr>
            <w:tcW w:w="447" w:type="dxa"/>
            <w:tcBorders>
              <w:top w:val="single" w:sz="4" w:space="0" w:color="auto"/>
              <w:left w:val="nil"/>
              <w:bottom w:val="single" w:sz="4" w:space="0" w:color="auto"/>
              <w:right w:val="nil"/>
            </w:tcBorders>
          </w:tcPr>
          <w:p w14:paraId="274630B6" w14:textId="77777777" w:rsidR="00B84D23" w:rsidRDefault="00B84D23" w:rsidP="00A860A3">
            <w:pPr>
              <w:pStyle w:val="TAC"/>
              <w:rPr>
                <w:rFonts w:cs="Arial"/>
                <w:lang w:eastAsia="zh-CN"/>
              </w:rPr>
            </w:pPr>
            <w:r>
              <w:rPr>
                <w:rFonts w:cs="Arial"/>
                <w:lang w:eastAsia="zh-CN"/>
              </w:rPr>
              <w:t>–</w:t>
            </w:r>
          </w:p>
        </w:tc>
        <w:tc>
          <w:tcPr>
            <w:tcW w:w="1091" w:type="dxa"/>
            <w:tcBorders>
              <w:top w:val="single" w:sz="4" w:space="0" w:color="auto"/>
              <w:left w:val="nil"/>
              <w:bottom w:val="single" w:sz="4" w:space="0" w:color="auto"/>
              <w:right w:val="single" w:sz="4" w:space="0" w:color="auto"/>
            </w:tcBorders>
          </w:tcPr>
          <w:p w14:paraId="4AC76B51" w14:textId="77777777" w:rsidR="00B84D23" w:rsidRDefault="00B84D23" w:rsidP="00A860A3">
            <w:pPr>
              <w:pStyle w:val="TAL"/>
              <w:rPr>
                <w:rFonts w:cs="Arial"/>
                <w:lang w:eastAsia="zh-CN"/>
              </w:rPr>
            </w:pPr>
            <w:r>
              <w:rPr>
                <w:rFonts w:cs="Arial" w:hint="eastAsia"/>
                <w:lang w:val="en-US" w:eastAsia="zh-CN"/>
              </w:rPr>
              <w:t>1675</w:t>
            </w:r>
            <w:r>
              <w:rPr>
                <w:rFonts w:cs="Arial"/>
                <w:lang w:eastAsia="zh-CN"/>
              </w:rPr>
              <w:t xml:space="preserve"> MHz</w:t>
            </w:r>
          </w:p>
        </w:tc>
        <w:tc>
          <w:tcPr>
            <w:tcW w:w="1103" w:type="dxa"/>
            <w:tcBorders>
              <w:top w:val="single" w:sz="4" w:space="0" w:color="auto"/>
              <w:left w:val="nil"/>
              <w:bottom w:val="single" w:sz="4" w:space="0" w:color="auto"/>
              <w:right w:val="nil"/>
            </w:tcBorders>
          </w:tcPr>
          <w:p w14:paraId="5F6CDAEA" w14:textId="77777777" w:rsidR="00B84D23" w:rsidRDefault="00B84D23" w:rsidP="00A860A3">
            <w:pPr>
              <w:pStyle w:val="TAR"/>
            </w:pPr>
            <w:r>
              <w:rPr>
                <w:rFonts w:hint="eastAsia"/>
                <w:lang w:val="en-US" w:eastAsia="zh-CN"/>
              </w:rPr>
              <w:t>1518</w:t>
            </w:r>
            <w:r>
              <w:t xml:space="preserve"> MHz</w:t>
            </w:r>
          </w:p>
        </w:tc>
        <w:tc>
          <w:tcPr>
            <w:tcW w:w="441" w:type="dxa"/>
            <w:tcBorders>
              <w:top w:val="single" w:sz="4" w:space="0" w:color="auto"/>
              <w:left w:val="nil"/>
              <w:bottom w:val="single" w:sz="4" w:space="0" w:color="auto"/>
              <w:right w:val="nil"/>
            </w:tcBorders>
          </w:tcPr>
          <w:p w14:paraId="6E1730B3" w14:textId="77777777" w:rsidR="00B84D23" w:rsidRDefault="00B84D23" w:rsidP="00A860A3">
            <w:pPr>
              <w:pStyle w:val="TAC"/>
            </w:pPr>
            <w:r>
              <w:t>–</w:t>
            </w:r>
          </w:p>
        </w:tc>
        <w:tc>
          <w:tcPr>
            <w:tcW w:w="918" w:type="dxa"/>
            <w:tcBorders>
              <w:top w:val="single" w:sz="4" w:space="0" w:color="auto"/>
              <w:left w:val="nil"/>
              <w:bottom w:val="single" w:sz="4" w:space="0" w:color="auto"/>
              <w:right w:val="single" w:sz="4" w:space="0" w:color="auto"/>
            </w:tcBorders>
          </w:tcPr>
          <w:p w14:paraId="0AB4403C" w14:textId="77777777" w:rsidR="00B84D23" w:rsidRDefault="00B84D23" w:rsidP="00A860A3">
            <w:pPr>
              <w:pStyle w:val="TAL"/>
            </w:pPr>
            <w:r>
              <w:rPr>
                <w:rFonts w:hint="eastAsia"/>
                <w:lang w:val="en-US" w:eastAsia="zh-CN"/>
              </w:rPr>
              <w:t>1525</w:t>
            </w:r>
            <w:r>
              <w:t xml:space="preserve"> MHz</w:t>
            </w:r>
          </w:p>
        </w:tc>
        <w:tc>
          <w:tcPr>
            <w:tcW w:w="753" w:type="dxa"/>
            <w:tcBorders>
              <w:top w:val="single" w:sz="4" w:space="0" w:color="auto"/>
              <w:left w:val="single" w:sz="4" w:space="0" w:color="auto"/>
              <w:bottom w:val="single" w:sz="4" w:space="0" w:color="auto"/>
              <w:right w:val="single" w:sz="4" w:space="0" w:color="auto"/>
            </w:tcBorders>
          </w:tcPr>
          <w:p w14:paraId="4011055B" w14:textId="77777777" w:rsidR="00B84D23" w:rsidRDefault="00B84D23" w:rsidP="00A860A3">
            <w:pPr>
              <w:pStyle w:val="TAC"/>
              <w:rPr>
                <w:rFonts w:cs="Arial"/>
              </w:rPr>
            </w:pPr>
            <w:r>
              <w:rPr>
                <w:rFonts w:cs="Arial" w:hint="eastAsia"/>
                <w:lang w:eastAsia="ja-JP"/>
              </w:rPr>
              <w:t>FDD</w:t>
            </w:r>
          </w:p>
        </w:tc>
      </w:tr>
      <w:tr w:rsidR="00B84D23" w14:paraId="6B96984E" w14:textId="77777777" w:rsidTr="00A860A3">
        <w:trPr>
          <w:trHeight w:val="214"/>
          <w:jc w:val="center"/>
        </w:trPr>
        <w:tc>
          <w:tcPr>
            <w:tcW w:w="7123" w:type="dxa"/>
            <w:gridSpan w:val="8"/>
            <w:tcBorders>
              <w:top w:val="single" w:sz="4" w:space="0" w:color="auto"/>
              <w:left w:val="single" w:sz="4" w:space="0" w:color="auto"/>
              <w:bottom w:val="single" w:sz="4" w:space="0" w:color="auto"/>
              <w:right w:val="single" w:sz="4" w:space="0" w:color="auto"/>
            </w:tcBorders>
          </w:tcPr>
          <w:p w14:paraId="78338588" w14:textId="77777777" w:rsidR="00B84D23" w:rsidRPr="000D4E91" w:rsidRDefault="00B84D23" w:rsidP="00A860A3">
            <w:pPr>
              <w:pStyle w:val="TAN"/>
              <w:rPr>
                <w:lang w:val="en-US"/>
              </w:rPr>
            </w:pPr>
            <w:r w:rsidRPr="000D4E91">
              <w:rPr>
                <w:lang w:val="en-US"/>
              </w:rPr>
              <w:t>NOTE:</w:t>
            </w:r>
            <w:r w:rsidRPr="000D4E91">
              <w:rPr>
                <w:lang w:val="en-US"/>
              </w:rPr>
              <w:tab/>
              <w:t>Satellite bands are numbered in descending order from 256</w:t>
            </w:r>
          </w:p>
        </w:tc>
      </w:tr>
    </w:tbl>
    <w:p w14:paraId="7B435DA8" w14:textId="77777777" w:rsidR="00B84D23" w:rsidRPr="00B84D23" w:rsidRDefault="00B84D23" w:rsidP="001703E5">
      <w:pPr>
        <w:rPr>
          <w:b/>
          <w:bCs/>
          <w:lang w:val="en-US"/>
        </w:rPr>
      </w:pPr>
    </w:p>
    <w:p w14:paraId="0C8D2D00" w14:textId="20BCA8E5" w:rsidR="0002725B" w:rsidRDefault="001367F9" w:rsidP="001703E5">
      <w:pPr>
        <w:rPr>
          <w:lang w:val="en-US"/>
        </w:rPr>
      </w:pPr>
      <w:r>
        <w:rPr>
          <w:lang w:val="en-US"/>
        </w:rPr>
        <w:t xml:space="preserve">We can also further conclude that coexistence with band </w:t>
      </w:r>
      <w:r w:rsidR="00A05F78">
        <w:rPr>
          <w:lang w:val="en-US"/>
        </w:rPr>
        <w:t>74/n74 is not applicable at least for Region 1</w:t>
      </w:r>
      <w:r w:rsidR="002126C8">
        <w:rPr>
          <w:lang w:val="en-US"/>
        </w:rPr>
        <w:t>, and that any coexistence should assume TN deployment ending no further than 1517 MHz</w:t>
      </w:r>
      <w:r w:rsidR="00A05F78">
        <w:rPr>
          <w:lang w:val="en-US"/>
        </w:rPr>
        <w:t>.</w:t>
      </w:r>
      <w:r w:rsidR="0056591A">
        <w:rPr>
          <w:lang w:val="en-US"/>
        </w:rPr>
        <w:t xml:space="preserve"> </w:t>
      </w:r>
    </w:p>
    <w:p w14:paraId="347C91BE" w14:textId="29FEA8EC" w:rsidR="00C7305A" w:rsidRPr="002126C8" w:rsidRDefault="002126C8" w:rsidP="001703E5">
      <w:pPr>
        <w:rPr>
          <w:b/>
          <w:bCs/>
          <w:lang w:val="en-US"/>
        </w:rPr>
      </w:pPr>
      <w:r w:rsidRPr="002126C8">
        <w:rPr>
          <w:b/>
          <w:bCs/>
          <w:lang w:val="en-US"/>
        </w:rPr>
        <w:t>Proposal 2:</w:t>
      </w:r>
      <w:r w:rsidRPr="002126C8">
        <w:rPr>
          <w:b/>
          <w:bCs/>
          <w:lang w:val="en-US"/>
        </w:rPr>
        <w:tab/>
        <w:t>For coexistence purposes, and at least for Region 1, consider the assumption of Terrestrial deployments ending not further than 1517 MHz.</w:t>
      </w:r>
    </w:p>
    <w:p w14:paraId="28C37094" w14:textId="487812AA" w:rsidR="0094531B" w:rsidRDefault="00715333" w:rsidP="001703E5">
      <w:pPr>
        <w:rPr>
          <w:lang w:val="en-US"/>
        </w:rPr>
      </w:pPr>
      <w:r>
        <w:rPr>
          <w:lang w:val="en-US"/>
        </w:rPr>
        <w:t xml:space="preserve">During the initial NTN Work Item, RAN4 conducted co-existence analysis studies </w:t>
      </w:r>
      <w:r w:rsidR="00631561">
        <w:rPr>
          <w:lang w:val="en-US"/>
        </w:rPr>
        <w:t>between TN and NTN</w:t>
      </w:r>
      <w:r w:rsidR="004518E6">
        <w:rPr>
          <w:lang w:val="en-US"/>
        </w:rPr>
        <w:t xml:space="preserve"> [11]</w:t>
      </w:r>
      <w:r w:rsidR="00631561">
        <w:rPr>
          <w:lang w:val="en-US"/>
        </w:rPr>
        <w:t xml:space="preserve">, the conclusions of which were deemed </w:t>
      </w:r>
      <w:r w:rsidR="00964531">
        <w:rPr>
          <w:lang w:val="en-US"/>
        </w:rPr>
        <w:t xml:space="preserve">generally applicable to the specification of </w:t>
      </w:r>
      <w:r w:rsidR="004518E6">
        <w:rPr>
          <w:lang w:val="en-US"/>
        </w:rPr>
        <w:t xml:space="preserve">IoT </w:t>
      </w:r>
      <w:r w:rsidR="00964531">
        <w:rPr>
          <w:lang w:val="en-US"/>
        </w:rPr>
        <w:t>NTN bands</w:t>
      </w:r>
      <w:r w:rsidR="004518E6">
        <w:rPr>
          <w:lang w:val="en-US"/>
        </w:rPr>
        <w:t xml:space="preserve">, including </w:t>
      </w:r>
      <w:r w:rsidR="00876AE9">
        <w:rPr>
          <w:lang w:val="en-US"/>
        </w:rPr>
        <w:t xml:space="preserve">a </w:t>
      </w:r>
      <w:r w:rsidR="004518E6">
        <w:rPr>
          <w:lang w:val="en-US"/>
        </w:rPr>
        <w:t xml:space="preserve">general assumption of a geographical separation of 1500m of the NTN UE from </w:t>
      </w:r>
      <w:r w:rsidR="00863A85">
        <w:rPr>
          <w:lang w:val="en-US"/>
        </w:rPr>
        <w:t xml:space="preserve">the nearest terrestrial base station in </w:t>
      </w:r>
      <w:r w:rsidR="00876AE9">
        <w:rPr>
          <w:lang w:val="en-US"/>
        </w:rPr>
        <w:t xml:space="preserve">immediately </w:t>
      </w:r>
      <w:r w:rsidR="00863A85">
        <w:rPr>
          <w:lang w:val="en-US"/>
        </w:rPr>
        <w:t>adjacent band [11].</w:t>
      </w:r>
      <w:r w:rsidR="002D48FD">
        <w:rPr>
          <w:lang w:val="en-US"/>
        </w:rPr>
        <w:t xml:space="preserve">  A</w:t>
      </w:r>
      <w:r w:rsidR="00825CD8">
        <w:rPr>
          <w:lang w:val="en-US"/>
        </w:rPr>
        <w:t>lthough not a requirement, these assumptions can be considered as a baseline working assumption when considering System Parameters and UE RF requirements.</w:t>
      </w:r>
    </w:p>
    <w:p w14:paraId="6626F22C" w14:textId="1CA392BF" w:rsidR="00BB435F" w:rsidRPr="000C25FB" w:rsidRDefault="00815917" w:rsidP="001703E5">
      <w:pPr>
        <w:rPr>
          <w:lang w:val="en-US"/>
        </w:rPr>
      </w:pPr>
      <w:r>
        <w:rPr>
          <w:b/>
          <w:bCs/>
          <w:lang w:val="en-US"/>
        </w:rPr>
        <w:t xml:space="preserve">Proposal 3: </w:t>
      </w:r>
      <w:r w:rsidR="00876AE9" w:rsidRPr="00876AE9">
        <w:rPr>
          <w:b/>
          <w:bCs/>
          <w:lang w:val="en-US"/>
        </w:rPr>
        <w:t>Although not a requirement, assumptions</w:t>
      </w:r>
      <w:r w:rsidR="00876AE9">
        <w:rPr>
          <w:b/>
          <w:bCs/>
          <w:lang w:val="en-US"/>
        </w:rPr>
        <w:t xml:space="preserve"> from </w:t>
      </w:r>
      <w:r w:rsidR="00876AE9" w:rsidRPr="00876AE9">
        <w:rPr>
          <w:b/>
          <w:bCs/>
          <w:lang w:val="en-US"/>
        </w:rPr>
        <w:t xml:space="preserve">TR 38.863 can be </w:t>
      </w:r>
      <w:r w:rsidR="00876AE9">
        <w:rPr>
          <w:b/>
          <w:bCs/>
          <w:lang w:val="en-US"/>
        </w:rPr>
        <w:t>reused</w:t>
      </w:r>
      <w:r w:rsidR="00876AE9" w:rsidRPr="00876AE9">
        <w:rPr>
          <w:b/>
          <w:bCs/>
          <w:lang w:val="en-US"/>
        </w:rPr>
        <w:t xml:space="preserve"> as a baseline working assumption when considering System Parameters and UE RF requirements.</w:t>
      </w:r>
      <w:r w:rsidR="000C25FB">
        <w:rPr>
          <w:b/>
          <w:bCs/>
          <w:lang w:val="en-US"/>
        </w:rPr>
        <w:t xml:space="preserve"> This could include assuming at least a 1500m separation distance of an NTN UE from nearest TN base station operating near the adjacent band.</w:t>
      </w:r>
    </w:p>
    <w:p w14:paraId="252C236A" w14:textId="343E23A8" w:rsidR="000C25FB" w:rsidRDefault="000C25FB" w:rsidP="001703E5">
      <w:pPr>
        <w:rPr>
          <w:lang w:val="en-US"/>
        </w:rPr>
      </w:pPr>
      <w:r>
        <w:rPr>
          <w:lang w:val="en-US"/>
        </w:rPr>
        <w:t xml:space="preserve">ECC Report 263 </w:t>
      </w:r>
      <w:r w:rsidR="00646F9E">
        <w:rPr>
          <w:lang w:val="en-US"/>
        </w:rPr>
        <w:t>stipulates a number of possible measures to improve coexistence between IMT and MSS systems:</w:t>
      </w:r>
    </w:p>
    <w:p w14:paraId="4EEAAD03" w14:textId="629F6B97" w:rsidR="00646F9E" w:rsidRDefault="00BA52C3" w:rsidP="00041B57">
      <w:pPr>
        <w:jc w:val="center"/>
        <w:rPr>
          <w:lang w:val="en-US"/>
        </w:rPr>
      </w:pPr>
      <w:r>
        <w:rPr>
          <w:noProof/>
        </w:rPr>
        <w:lastRenderedPageBreak/>
        <w:drawing>
          <wp:inline distT="0" distB="0" distL="0" distR="0" wp14:anchorId="18EF7220" wp14:editId="0AE74F7A">
            <wp:extent cx="4989756" cy="1317511"/>
            <wp:effectExtent l="38100" t="38100" r="97155" b="92710"/>
            <wp:docPr id="13" name="Picture 13" descr="A picture containing text, font, screenshot,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font, screenshot, document&#10;&#10;Description automatically generated"/>
                    <pic:cNvPicPr/>
                  </pic:nvPicPr>
                  <pic:blipFill>
                    <a:blip r:embed="rId20"/>
                    <a:stretch>
                      <a:fillRect/>
                    </a:stretch>
                  </pic:blipFill>
                  <pic:spPr>
                    <a:xfrm>
                      <a:off x="0" y="0"/>
                      <a:ext cx="5008404" cy="1322435"/>
                    </a:xfrm>
                    <a:prstGeom prst="rect">
                      <a:avLst/>
                    </a:prstGeom>
                    <a:effectLst>
                      <a:outerShdw blurRad="50800" dist="38100" dir="2700000" algn="tl" rotWithShape="0">
                        <a:prstClr val="black">
                          <a:alpha val="40000"/>
                        </a:prstClr>
                      </a:outerShdw>
                    </a:effectLst>
                  </pic:spPr>
                </pic:pic>
              </a:graphicData>
            </a:graphic>
          </wp:inline>
        </w:drawing>
      </w:r>
    </w:p>
    <w:p w14:paraId="69D79494" w14:textId="4D376C4C" w:rsidR="00615057" w:rsidRDefault="00C87370" w:rsidP="001703E5">
      <w:pPr>
        <w:rPr>
          <w:lang w:val="en-US"/>
        </w:rPr>
      </w:pPr>
      <w:r>
        <w:rPr>
          <w:lang w:val="en-US"/>
        </w:rPr>
        <w:t>Two</w:t>
      </w:r>
      <w:r w:rsidR="00B07E08">
        <w:rPr>
          <w:lang w:val="en-US"/>
        </w:rPr>
        <w:t xml:space="preserve"> of the methods proposed </w:t>
      </w:r>
      <w:r>
        <w:rPr>
          <w:lang w:val="en-US"/>
        </w:rPr>
        <w:t>are</w:t>
      </w:r>
      <w:r w:rsidR="00B07E08">
        <w:rPr>
          <w:lang w:val="en-US"/>
        </w:rPr>
        <w:t xml:space="preserve"> </w:t>
      </w:r>
      <w:r w:rsidR="00B85C74">
        <w:rPr>
          <w:lang w:val="en-US"/>
        </w:rPr>
        <w:t>that of a location-based frequency allocation for MSS operation</w:t>
      </w:r>
      <w:r>
        <w:rPr>
          <w:lang w:val="en-US"/>
        </w:rPr>
        <w:t xml:space="preserve"> and/or that of the implementation of interference measurement and avoidance mechanisms.  Both of these techniques are already available to</w:t>
      </w:r>
      <w:r w:rsidR="00FB3F03">
        <w:rPr>
          <w:lang w:val="en-US"/>
        </w:rPr>
        <w:t xml:space="preserve"> satellite operators with existing satellite systems, and the tools to implement them in NTN are </w:t>
      </w:r>
      <w:r w:rsidR="00102858">
        <w:rPr>
          <w:lang w:val="en-US"/>
        </w:rPr>
        <w:t xml:space="preserve">readily available in the existing 3GPP NTN spec, especially given that DL frequency allocation </w:t>
      </w:r>
      <w:r w:rsidR="00615057">
        <w:rPr>
          <w:lang w:val="en-US"/>
        </w:rPr>
        <w:t>is under control of the network, and that UE are already capable of measuring and reporting to the network of any interference.</w:t>
      </w:r>
      <w:r w:rsidR="00041B57">
        <w:rPr>
          <w:lang w:val="en-US"/>
        </w:rPr>
        <w:br/>
      </w:r>
      <w:r w:rsidR="00041B57">
        <w:rPr>
          <w:lang w:val="en-US"/>
        </w:rPr>
        <w:br/>
      </w:r>
      <w:r w:rsidR="00041B57">
        <w:rPr>
          <w:b/>
          <w:bCs/>
          <w:lang w:val="en-US"/>
        </w:rPr>
        <w:t>Proposal 4: Location-based frequency assignment mechanisms can be used by the network to assign DL frequencies to NTN UE appropriately in order to minimize interference.  Additionally or alternatively,  interference measurement and mitigation techniques can be used by the network and UE to detect and mitigate interference. These methods can be left to operator’s deployment and do not require additional specification.</w:t>
      </w:r>
    </w:p>
    <w:p w14:paraId="2A388E44" w14:textId="21C6DF8D" w:rsidR="00615057" w:rsidRDefault="00615057" w:rsidP="001703E5">
      <w:pPr>
        <w:rPr>
          <w:lang w:val="en-US"/>
        </w:rPr>
      </w:pPr>
      <w:r>
        <w:rPr>
          <w:lang w:val="en-US"/>
        </w:rPr>
        <w:t>It could however be beneficial to be able to specify additional network signaling by the network to the UE in certain cells, where additional requirements may apply.</w:t>
      </w:r>
    </w:p>
    <w:p w14:paraId="05B3E1CC" w14:textId="5F0D170D" w:rsidR="000C25FB" w:rsidRDefault="00041B57" w:rsidP="001703E5">
      <w:pPr>
        <w:rPr>
          <w:lang w:val="en-US"/>
        </w:rPr>
      </w:pPr>
      <w:r>
        <w:rPr>
          <w:b/>
          <w:bCs/>
          <w:lang w:val="en-US"/>
        </w:rPr>
        <w:t>Proposal 5: Specify additional optional NS values to allow NTN operators to specify additional blocking requirements if, when and where needed, on a per-deployment basis.  Different NS values can be later on specified on a country by country basis to address regional or country-specific requirements.</w:t>
      </w:r>
    </w:p>
    <w:p w14:paraId="5F4B8DD7" w14:textId="613D3F57" w:rsidR="00573A2C" w:rsidRDefault="0098200F" w:rsidP="001703E5">
      <w:pPr>
        <w:rPr>
          <w:lang w:val="en-US"/>
        </w:rPr>
      </w:pPr>
      <w:r>
        <w:rPr>
          <w:lang w:val="en-US"/>
        </w:rPr>
        <w:t>Finally</w:t>
      </w:r>
      <w:r w:rsidR="00573A2C">
        <w:rPr>
          <w:lang w:val="en-US"/>
        </w:rPr>
        <w:t>, in line with the</w:t>
      </w:r>
      <w:r w:rsidR="00D10D5F">
        <w:rPr>
          <w:lang w:val="en-US"/>
        </w:rPr>
        <w:t xml:space="preserve"> band definition and</w:t>
      </w:r>
      <w:r w:rsidR="00573A2C">
        <w:rPr>
          <w:lang w:val="en-US"/>
        </w:rPr>
        <w:t xml:space="preserve"> general band parameters </w:t>
      </w:r>
      <w:r w:rsidR="00D10D5F">
        <w:rPr>
          <w:lang w:val="en-US"/>
        </w:rPr>
        <w:t>discussed during RAN4#106-bis-e below</w:t>
      </w:r>
      <w:r>
        <w:rPr>
          <w:lang w:val="en-US"/>
        </w:rPr>
        <w:t xml:space="preserve"> [3]</w:t>
      </w:r>
      <w:r w:rsidR="00D10D5F">
        <w:rPr>
          <w:lang w:val="en-US"/>
        </w:rPr>
        <w:t xml:space="preserve">, we consider that a -150 MHz </w:t>
      </w:r>
      <w:r w:rsidR="00A317AA">
        <w:rPr>
          <w:lang w:val="en-US"/>
        </w:rPr>
        <w:t xml:space="preserve">TX-RX separation should be </w:t>
      </w:r>
      <w:r w:rsidR="000454A3">
        <w:rPr>
          <w:lang w:val="en-US"/>
        </w:rPr>
        <w:t>adopted</w:t>
      </w:r>
      <w:r w:rsidR="00A317AA">
        <w:rPr>
          <w:lang w:val="en-US"/>
        </w:rPr>
        <w:t xml:space="preserve"> as default.</w:t>
      </w:r>
    </w:p>
    <w:p w14:paraId="77D38F77" w14:textId="77777777" w:rsidR="0098200F" w:rsidRDefault="0098200F" w:rsidP="0098200F">
      <w:pPr>
        <w:pStyle w:val="ListParagraph"/>
        <w:overflowPunct/>
        <w:autoSpaceDE/>
        <w:autoSpaceDN/>
        <w:adjustRightInd/>
        <w:spacing w:after="120"/>
        <w:ind w:left="2348"/>
        <w:contextualSpacing w:val="0"/>
        <w:textAlignment w:val="auto"/>
        <w:rPr>
          <w:rFonts w:eastAsia="SimSun"/>
          <w:color w:val="0070C0"/>
          <w:szCs w:val="24"/>
          <w:lang w:val="en-US" w:eastAsia="zh-CN"/>
        </w:rPr>
      </w:pPr>
      <w:r>
        <w:t xml:space="preserve">Table </w:t>
      </w:r>
      <w:r>
        <w:rPr>
          <w:rFonts w:hint="eastAsia"/>
          <w:lang w:val="en-US" w:eastAsia="zh-CN"/>
        </w:rPr>
        <w:t>2</w:t>
      </w:r>
      <w:r>
        <w:t>.</w:t>
      </w:r>
      <w:r>
        <w:rPr>
          <w:rFonts w:hint="eastAsia"/>
          <w:lang w:val="en-US" w:eastAsia="zh-CN"/>
        </w:rPr>
        <w:t>1</w:t>
      </w:r>
      <w:r>
        <w:t>-1: E-UTRA operating bands for satellite access</w:t>
      </w:r>
    </w:p>
    <w:tbl>
      <w:tblPr>
        <w:tblW w:w="7123" w:type="dxa"/>
        <w:jc w:val="center"/>
        <w:tblLook w:val="04A0" w:firstRow="1" w:lastRow="0" w:firstColumn="1" w:lastColumn="0" w:noHBand="0" w:noVBand="1"/>
      </w:tblPr>
      <w:tblGrid>
        <w:gridCol w:w="1298"/>
        <w:gridCol w:w="1043"/>
        <w:gridCol w:w="444"/>
        <w:gridCol w:w="1080"/>
        <w:gridCol w:w="1091"/>
        <w:gridCol w:w="438"/>
        <w:gridCol w:w="912"/>
        <w:gridCol w:w="817"/>
      </w:tblGrid>
      <w:tr w:rsidR="0098200F" w14:paraId="333116A6" w14:textId="77777777" w:rsidTr="00A860A3">
        <w:trPr>
          <w:trHeight w:val="677"/>
          <w:jc w:val="center"/>
        </w:trPr>
        <w:tc>
          <w:tcPr>
            <w:tcW w:w="1305" w:type="dxa"/>
            <w:vMerge w:val="restart"/>
            <w:tcBorders>
              <w:top w:val="single" w:sz="4" w:space="0" w:color="auto"/>
              <w:left w:val="single" w:sz="4" w:space="0" w:color="auto"/>
              <w:right w:val="single" w:sz="4" w:space="0" w:color="auto"/>
            </w:tcBorders>
            <w:vAlign w:val="center"/>
          </w:tcPr>
          <w:p w14:paraId="0A33BD7F" w14:textId="77777777" w:rsidR="0098200F" w:rsidRDefault="0098200F" w:rsidP="00A860A3">
            <w:pPr>
              <w:pStyle w:val="TAH"/>
              <w:rPr>
                <w:rFonts w:cs="Arial"/>
              </w:rPr>
            </w:pPr>
            <w:r>
              <w:rPr>
                <w:rFonts w:cs="Arial"/>
              </w:rPr>
              <w:t>E</w:t>
            </w:r>
            <w:r>
              <w:rPr>
                <w:rFonts w:cs="Arial"/>
              </w:rPr>
              <w:noBreakHyphen/>
              <w:t>UTRA Operating Band</w:t>
            </w: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7DF96EF3" w14:textId="77777777" w:rsidR="0098200F" w:rsidRPr="000D4E91" w:rsidRDefault="0098200F" w:rsidP="00A860A3">
            <w:pPr>
              <w:pStyle w:val="TAH"/>
              <w:rPr>
                <w:rFonts w:cs="Arial"/>
                <w:lang w:val="en-US"/>
              </w:rPr>
            </w:pPr>
            <w:r w:rsidRPr="000D4E91">
              <w:rPr>
                <w:rFonts w:cs="Arial"/>
                <w:lang w:val="en-US"/>
              </w:rPr>
              <w:t>Uplink (UL) operating band</w:t>
            </w:r>
            <w:r w:rsidRPr="000D4E91">
              <w:rPr>
                <w:rFonts w:cs="Arial"/>
                <w:lang w:val="en-US"/>
              </w:rPr>
              <w:br/>
              <w:t>BS receive</w:t>
            </w:r>
            <w:r w:rsidRPr="000D4E91">
              <w:rPr>
                <w:rFonts w:cs="Arial"/>
                <w:lang w:val="en-US"/>
              </w:rPr>
              <w:br/>
              <w:t>UE transmit</w:t>
            </w:r>
          </w:p>
        </w:tc>
        <w:tc>
          <w:tcPr>
            <w:tcW w:w="2464" w:type="dxa"/>
            <w:gridSpan w:val="3"/>
            <w:tcBorders>
              <w:top w:val="single" w:sz="4" w:space="0" w:color="auto"/>
              <w:bottom w:val="single" w:sz="4" w:space="0" w:color="auto"/>
              <w:right w:val="single" w:sz="4" w:space="0" w:color="auto"/>
            </w:tcBorders>
            <w:vAlign w:val="center"/>
          </w:tcPr>
          <w:p w14:paraId="65225ADC" w14:textId="77777777" w:rsidR="0098200F" w:rsidRPr="000D4E91" w:rsidRDefault="0098200F" w:rsidP="00A860A3">
            <w:pPr>
              <w:pStyle w:val="TAH"/>
              <w:rPr>
                <w:rFonts w:cs="Arial"/>
                <w:lang w:val="en-US"/>
              </w:rPr>
            </w:pPr>
            <w:r w:rsidRPr="000D4E91">
              <w:rPr>
                <w:rFonts w:cs="Arial"/>
                <w:lang w:val="en-US"/>
              </w:rPr>
              <w:t>Downlink (DL) operating band</w:t>
            </w:r>
            <w:r w:rsidRPr="000D4E91">
              <w:rPr>
                <w:rFonts w:cs="Arial"/>
                <w:lang w:val="en-US"/>
              </w:rPr>
              <w:br/>
              <w:t xml:space="preserve">BS transmit </w:t>
            </w:r>
            <w:r w:rsidRPr="000D4E91">
              <w:rPr>
                <w:rFonts w:cs="Arial"/>
                <w:lang w:val="en-US"/>
              </w:rPr>
              <w:br/>
              <w:t>UE receive</w:t>
            </w:r>
          </w:p>
        </w:tc>
        <w:tc>
          <w:tcPr>
            <w:tcW w:w="753" w:type="dxa"/>
            <w:vMerge w:val="restart"/>
            <w:tcBorders>
              <w:top w:val="single" w:sz="4" w:space="0" w:color="auto"/>
              <w:left w:val="single" w:sz="4" w:space="0" w:color="auto"/>
              <w:right w:val="single" w:sz="4" w:space="0" w:color="auto"/>
            </w:tcBorders>
          </w:tcPr>
          <w:p w14:paraId="72048A0D" w14:textId="77777777" w:rsidR="0098200F" w:rsidRDefault="0098200F" w:rsidP="00A860A3">
            <w:pPr>
              <w:pStyle w:val="TAH"/>
              <w:rPr>
                <w:rFonts w:cs="Arial"/>
              </w:rPr>
            </w:pPr>
            <w:r>
              <w:rPr>
                <w:rFonts w:cs="Arial"/>
              </w:rPr>
              <w:t>Duplex Mode</w:t>
            </w:r>
          </w:p>
        </w:tc>
      </w:tr>
      <w:tr w:rsidR="0098200F" w14:paraId="1E3EE5C9" w14:textId="77777777" w:rsidTr="00A860A3">
        <w:trPr>
          <w:trHeight w:val="157"/>
          <w:jc w:val="center"/>
        </w:trPr>
        <w:tc>
          <w:tcPr>
            <w:tcW w:w="1305" w:type="dxa"/>
            <w:vMerge/>
            <w:tcBorders>
              <w:left w:val="single" w:sz="4" w:space="0" w:color="auto"/>
              <w:bottom w:val="single" w:sz="4" w:space="0" w:color="auto"/>
              <w:right w:val="single" w:sz="4" w:space="0" w:color="auto"/>
            </w:tcBorders>
            <w:vAlign w:val="center"/>
          </w:tcPr>
          <w:p w14:paraId="7D3EB6F1" w14:textId="77777777" w:rsidR="0098200F" w:rsidRDefault="0098200F" w:rsidP="00A860A3">
            <w:pPr>
              <w:pStyle w:val="TAH"/>
              <w:rPr>
                <w:rFonts w:cs="Arial"/>
              </w:rPr>
            </w:pP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69FD372E" w14:textId="77777777" w:rsidR="0098200F" w:rsidRPr="000D4E91" w:rsidRDefault="0098200F" w:rsidP="00A860A3">
            <w:pPr>
              <w:pStyle w:val="TAH"/>
              <w:rPr>
                <w:rFonts w:cs="Arial"/>
                <w:lang w:val="en-US"/>
              </w:rPr>
            </w:pPr>
            <w:r w:rsidRPr="000D4E91">
              <w:rPr>
                <w:rFonts w:cs="Arial"/>
                <w:lang w:val="en-US"/>
              </w:rPr>
              <w:t>F</w:t>
            </w:r>
            <w:r w:rsidRPr="000D4E91">
              <w:rPr>
                <w:rFonts w:cs="Arial"/>
                <w:vertAlign w:val="subscript"/>
                <w:lang w:val="en-US"/>
              </w:rPr>
              <w:t>UL_low</w:t>
            </w:r>
            <w:r w:rsidRPr="000D4E91">
              <w:rPr>
                <w:rFonts w:cs="Arial"/>
                <w:lang w:val="en-US"/>
              </w:rPr>
              <w:t xml:space="preserve">   –  F</w:t>
            </w:r>
            <w:r w:rsidRPr="000D4E91">
              <w:rPr>
                <w:rFonts w:cs="Arial"/>
                <w:vertAlign w:val="subscript"/>
                <w:lang w:val="en-US"/>
              </w:rPr>
              <w:t>UL_high</w:t>
            </w:r>
          </w:p>
        </w:tc>
        <w:tc>
          <w:tcPr>
            <w:tcW w:w="2464" w:type="dxa"/>
            <w:gridSpan w:val="3"/>
            <w:tcBorders>
              <w:top w:val="single" w:sz="4" w:space="0" w:color="auto"/>
              <w:bottom w:val="single" w:sz="4" w:space="0" w:color="auto"/>
              <w:right w:val="single" w:sz="4" w:space="0" w:color="auto"/>
            </w:tcBorders>
            <w:vAlign w:val="center"/>
          </w:tcPr>
          <w:p w14:paraId="323AD4D3" w14:textId="77777777" w:rsidR="0098200F" w:rsidRPr="000D4E91" w:rsidRDefault="0098200F" w:rsidP="00A860A3">
            <w:pPr>
              <w:pStyle w:val="TAH"/>
              <w:rPr>
                <w:rFonts w:cs="Arial"/>
                <w:lang w:val="en-US"/>
              </w:rPr>
            </w:pPr>
            <w:r w:rsidRPr="000D4E91">
              <w:rPr>
                <w:rFonts w:cs="Arial"/>
                <w:lang w:val="en-US"/>
              </w:rPr>
              <w:t>F</w:t>
            </w:r>
            <w:r w:rsidRPr="000D4E91">
              <w:rPr>
                <w:rFonts w:cs="Arial"/>
                <w:vertAlign w:val="subscript"/>
                <w:lang w:val="en-US"/>
              </w:rPr>
              <w:t>DL_low</w:t>
            </w:r>
            <w:r w:rsidRPr="000D4E91">
              <w:rPr>
                <w:rFonts w:cs="Arial"/>
                <w:lang w:val="en-US"/>
              </w:rPr>
              <w:t xml:space="preserve">  –  F</w:t>
            </w:r>
            <w:r w:rsidRPr="000D4E91">
              <w:rPr>
                <w:rFonts w:cs="Arial"/>
                <w:vertAlign w:val="subscript"/>
                <w:lang w:val="en-US"/>
              </w:rPr>
              <w:t>DL_high</w:t>
            </w:r>
          </w:p>
        </w:tc>
        <w:tc>
          <w:tcPr>
            <w:tcW w:w="753" w:type="dxa"/>
            <w:vMerge/>
            <w:tcBorders>
              <w:left w:val="single" w:sz="4" w:space="0" w:color="auto"/>
              <w:bottom w:val="single" w:sz="4" w:space="0" w:color="auto"/>
              <w:right w:val="single" w:sz="4" w:space="0" w:color="auto"/>
            </w:tcBorders>
          </w:tcPr>
          <w:p w14:paraId="160378D3" w14:textId="77777777" w:rsidR="0098200F" w:rsidRPr="000D4E91" w:rsidRDefault="0098200F" w:rsidP="00A860A3">
            <w:pPr>
              <w:pStyle w:val="TAC"/>
              <w:rPr>
                <w:rFonts w:cs="Arial"/>
                <w:lang w:val="en-US"/>
              </w:rPr>
            </w:pPr>
          </w:p>
        </w:tc>
      </w:tr>
      <w:tr w:rsidR="0098200F" w14:paraId="2A4DAB5F" w14:textId="77777777" w:rsidTr="00A860A3">
        <w:trPr>
          <w:trHeight w:val="214"/>
          <w:jc w:val="center"/>
        </w:trPr>
        <w:tc>
          <w:tcPr>
            <w:tcW w:w="1305" w:type="dxa"/>
            <w:tcBorders>
              <w:top w:val="single" w:sz="4" w:space="0" w:color="auto"/>
              <w:left w:val="single" w:sz="4" w:space="0" w:color="auto"/>
              <w:bottom w:val="single" w:sz="4" w:space="0" w:color="auto"/>
              <w:right w:val="single" w:sz="4" w:space="0" w:color="auto"/>
            </w:tcBorders>
          </w:tcPr>
          <w:p w14:paraId="6E020D29" w14:textId="77777777" w:rsidR="0098200F" w:rsidRDefault="0098200F" w:rsidP="00A860A3">
            <w:pPr>
              <w:pStyle w:val="TAC"/>
              <w:rPr>
                <w:rFonts w:cs="Arial"/>
                <w:lang w:val="en-US" w:eastAsia="zh-CN"/>
              </w:rPr>
            </w:pPr>
            <w:r>
              <w:rPr>
                <w:rFonts w:cs="Arial" w:hint="eastAsia"/>
                <w:lang w:val="en-US" w:eastAsia="zh-CN"/>
              </w:rPr>
              <w:t>[</w:t>
            </w:r>
            <w:r>
              <w:rPr>
                <w:rFonts w:cs="Arial"/>
              </w:rPr>
              <w:t>25</w:t>
            </w:r>
            <w:r>
              <w:rPr>
                <w:rFonts w:cs="Arial" w:hint="eastAsia"/>
                <w:lang w:val="en-US" w:eastAsia="zh-CN"/>
              </w:rPr>
              <w:t>3]</w:t>
            </w:r>
          </w:p>
        </w:tc>
        <w:tc>
          <w:tcPr>
            <w:tcW w:w="1061" w:type="dxa"/>
            <w:tcBorders>
              <w:top w:val="single" w:sz="4" w:space="0" w:color="auto"/>
              <w:left w:val="single" w:sz="4" w:space="0" w:color="auto"/>
              <w:bottom w:val="single" w:sz="4" w:space="0" w:color="auto"/>
              <w:right w:val="nil"/>
            </w:tcBorders>
          </w:tcPr>
          <w:p w14:paraId="5FBFC020" w14:textId="77777777" w:rsidR="0098200F" w:rsidRDefault="0098200F" w:rsidP="00A860A3">
            <w:pPr>
              <w:pStyle w:val="TAR"/>
              <w:wordWrap w:val="0"/>
              <w:rPr>
                <w:rFonts w:cs="Arial"/>
                <w:lang w:eastAsia="zh-CN"/>
              </w:rPr>
            </w:pPr>
            <w:r>
              <w:rPr>
                <w:rFonts w:cs="Arial" w:hint="eastAsia"/>
                <w:lang w:val="en-US" w:eastAsia="zh-CN"/>
              </w:rPr>
              <w:t>1668</w:t>
            </w:r>
            <w:r>
              <w:rPr>
                <w:rFonts w:cs="Arial"/>
                <w:lang w:eastAsia="zh-CN"/>
              </w:rPr>
              <w:t xml:space="preserve"> MHz</w:t>
            </w:r>
          </w:p>
        </w:tc>
        <w:tc>
          <w:tcPr>
            <w:tcW w:w="447" w:type="dxa"/>
            <w:tcBorders>
              <w:top w:val="single" w:sz="4" w:space="0" w:color="auto"/>
              <w:left w:val="nil"/>
              <w:bottom w:val="single" w:sz="4" w:space="0" w:color="auto"/>
              <w:right w:val="nil"/>
            </w:tcBorders>
          </w:tcPr>
          <w:p w14:paraId="5A3A6A8F" w14:textId="77777777" w:rsidR="0098200F" w:rsidRDefault="0098200F" w:rsidP="00A860A3">
            <w:pPr>
              <w:pStyle w:val="TAC"/>
              <w:rPr>
                <w:rFonts w:cs="Arial"/>
                <w:lang w:eastAsia="zh-CN"/>
              </w:rPr>
            </w:pPr>
            <w:r>
              <w:rPr>
                <w:rFonts w:cs="Arial"/>
                <w:lang w:eastAsia="zh-CN"/>
              </w:rPr>
              <w:t>–</w:t>
            </w:r>
          </w:p>
        </w:tc>
        <w:tc>
          <w:tcPr>
            <w:tcW w:w="1091" w:type="dxa"/>
            <w:tcBorders>
              <w:top w:val="single" w:sz="4" w:space="0" w:color="auto"/>
              <w:left w:val="nil"/>
              <w:bottom w:val="single" w:sz="4" w:space="0" w:color="auto"/>
              <w:right w:val="single" w:sz="4" w:space="0" w:color="auto"/>
            </w:tcBorders>
          </w:tcPr>
          <w:p w14:paraId="0E16CF1D" w14:textId="77777777" w:rsidR="0098200F" w:rsidRDefault="0098200F" w:rsidP="00A860A3">
            <w:pPr>
              <w:pStyle w:val="TAL"/>
              <w:rPr>
                <w:rFonts w:cs="Arial"/>
                <w:lang w:eastAsia="zh-CN"/>
              </w:rPr>
            </w:pPr>
            <w:r>
              <w:rPr>
                <w:rFonts w:cs="Arial" w:hint="eastAsia"/>
                <w:lang w:val="en-US" w:eastAsia="zh-CN"/>
              </w:rPr>
              <w:t>1675</w:t>
            </w:r>
            <w:r>
              <w:rPr>
                <w:rFonts w:cs="Arial"/>
                <w:lang w:eastAsia="zh-CN"/>
              </w:rPr>
              <w:t xml:space="preserve"> MHz</w:t>
            </w:r>
          </w:p>
        </w:tc>
        <w:tc>
          <w:tcPr>
            <w:tcW w:w="1103" w:type="dxa"/>
            <w:tcBorders>
              <w:top w:val="single" w:sz="4" w:space="0" w:color="auto"/>
              <w:left w:val="nil"/>
              <w:bottom w:val="single" w:sz="4" w:space="0" w:color="auto"/>
              <w:right w:val="nil"/>
            </w:tcBorders>
          </w:tcPr>
          <w:p w14:paraId="1C1432E0" w14:textId="77777777" w:rsidR="0098200F" w:rsidRDefault="0098200F" w:rsidP="00A860A3">
            <w:pPr>
              <w:pStyle w:val="TAR"/>
            </w:pPr>
            <w:r>
              <w:rPr>
                <w:rFonts w:hint="eastAsia"/>
                <w:lang w:val="en-US" w:eastAsia="zh-CN"/>
              </w:rPr>
              <w:t>1518</w:t>
            </w:r>
            <w:r>
              <w:t xml:space="preserve"> MHz</w:t>
            </w:r>
          </w:p>
        </w:tc>
        <w:tc>
          <w:tcPr>
            <w:tcW w:w="441" w:type="dxa"/>
            <w:tcBorders>
              <w:top w:val="single" w:sz="4" w:space="0" w:color="auto"/>
              <w:left w:val="nil"/>
              <w:bottom w:val="single" w:sz="4" w:space="0" w:color="auto"/>
              <w:right w:val="nil"/>
            </w:tcBorders>
          </w:tcPr>
          <w:p w14:paraId="4DF07CB6" w14:textId="77777777" w:rsidR="0098200F" w:rsidRDefault="0098200F" w:rsidP="00A860A3">
            <w:pPr>
              <w:pStyle w:val="TAC"/>
            </w:pPr>
            <w:r>
              <w:t>–</w:t>
            </w:r>
          </w:p>
        </w:tc>
        <w:tc>
          <w:tcPr>
            <w:tcW w:w="918" w:type="dxa"/>
            <w:tcBorders>
              <w:top w:val="single" w:sz="4" w:space="0" w:color="auto"/>
              <w:left w:val="nil"/>
              <w:bottom w:val="single" w:sz="4" w:space="0" w:color="auto"/>
              <w:right w:val="single" w:sz="4" w:space="0" w:color="auto"/>
            </w:tcBorders>
          </w:tcPr>
          <w:p w14:paraId="1DED3AF2" w14:textId="77777777" w:rsidR="0098200F" w:rsidRDefault="0098200F" w:rsidP="00A860A3">
            <w:pPr>
              <w:pStyle w:val="TAL"/>
            </w:pPr>
            <w:r>
              <w:rPr>
                <w:rFonts w:hint="eastAsia"/>
                <w:lang w:val="en-US" w:eastAsia="zh-CN"/>
              </w:rPr>
              <w:t>1525</w:t>
            </w:r>
            <w:r>
              <w:t xml:space="preserve"> MHz</w:t>
            </w:r>
          </w:p>
        </w:tc>
        <w:tc>
          <w:tcPr>
            <w:tcW w:w="753" w:type="dxa"/>
            <w:tcBorders>
              <w:top w:val="single" w:sz="4" w:space="0" w:color="auto"/>
              <w:left w:val="single" w:sz="4" w:space="0" w:color="auto"/>
              <w:bottom w:val="single" w:sz="4" w:space="0" w:color="auto"/>
              <w:right w:val="single" w:sz="4" w:space="0" w:color="auto"/>
            </w:tcBorders>
          </w:tcPr>
          <w:p w14:paraId="30FB0DD0" w14:textId="77777777" w:rsidR="0098200F" w:rsidRDefault="0098200F" w:rsidP="00A860A3">
            <w:pPr>
              <w:pStyle w:val="TAC"/>
              <w:rPr>
                <w:rFonts w:cs="Arial"/>
              </w:rPr>
            </w:pPr>
            <w:r>
              <w:rPr>
                <w:rFonts w:cs="Arial" w:hint="eastAsia"/>
                <w:lang w:eastAsia="ja-JP"/>
              </w:rPr>
              <w:t>FDD</w:t>
            </w:r>
          </w:p>
        </w:tc>
      </w:tr>
      <w:tr w:rsidR="0098200F" w14:paraId="1A6D0685" w14:textId="77777777" w:rsidTr="00A860A3">
        <w:trPr>
          <w:trHeight w:val="214"/>
          <w:jc w:val="center"/>
        </w:trPr>
        <w:tc>
          <w:tcPr>
            <w:tcW w:w="7123" w:type="dxa"/>
            <w:gridSpan w:val="8"/>
            <w:tcBorders>
              <w:top w:val="single" w:sz="4" w:space="0" w:color="auto"/>
              <w:left w:val="single" w:sz="4" w:space="0" w:color="auto"/>
              <w:bottom w:val="single" w:sz="4" w:space="0" w:color="auto"/>
              <w:right w:val="single" w:sz="4" w:space="0" w:color="auto"/>
            </w:tcBorders>
          </w:tcPr>
          <w:p w14:paraId="00B427F1" w14:textId="77777777" w:rsidR="0098200F" w:rsidRPr="000D4E91" w:rsidRDefault="0098200F" w:rsidP="00A860A3">
            <w:pPr>
              <w:pStyle w:val="TAN"/>
              <w:rPr>
                <w:lang w:val="en-US"/>
              </w:rPr>
            </w:pPr>
            <w:r w:rsidRPr="000D4E91">
              <w:rPr>
                <w:lang w:val="en-US"/>
              </w:rPr>
              <w:t>NOTE:</w:t>
            </w:r>
            <w:r w:rsidRPr="000D4E91">
              <w:rPr>
                <w:lang w:val="en-US"/>
              </w:rPr>
              <w:tab/>
              <w:t>Satellite bands are numbered in descending order from 256</w:t>
            </w:r>
          </w:p>
        </w:tc>
      </w:tr>
    </w:tbl>
    <w:p w14:paraId="19FF768D" w14:textId="0369AC2F" w:rsidR="00863A85" w:rsidRDefault="00863A85" w:rsidP="001703E5">
      <w:pPr>
        <w:rPr>
          <w:lang w:val="en-US"/>
        </w:rPr>
      </w:pPr>
    </w:p>
    <w:p w14:paraId="07FF2739" w14:textId="006A78BB" w:rsidR="0098200F" w:rsidRPr="0098200F" w:rsidRDefault="0098200F" w:rsidP="001703E5">
      <w:pPr>
        <w:rPr>
          <w:b/>
          <w:bCs/>
          <w:lang w:val="en-US"/>
        </w:rPr>
      </w:pPr>
      <w:r w:rsidRPr="0098200F">
        <w:rPr>
          <w:b/>
          <w:bCs/>
          <w:lang w:val="en-US"/>
        </w:rPr>
        <w:t>Proposal 7:</w:t>
      </w:r>
      <w:r w:rsidRPr="0098200F">
        <w:rPr>
          <w:b/>
          <w:bCs/>
          <w:lang w:val="en-US"/>
        </w:rPr>
        <w:tab/>
        <w:t xml:space="preserve">Agree on </w:t>
      </w:r>
      <w:r w:rsidR="000454A3">
        <w:rPr>
          <w:b/>
          <w:bCs/>
          <w:lang w:val="en-US"/>
        </w:rPr>
        <w:t>d</w:t>
      </w:r>
      <w:r w:rsidRPr="0098200F">
        <w:rPr>
          <w:b/>
          <w:bCs/>
          <w:lang w:val="en-US"/>
        </w:rPr>
        <w:t>efault TX-RX separation of -150 MHz</w:t>
      </w:r>
    </w:p>
    <w:p w14:paraId="3B486306" w14:textId="77777777" w:rsidR="00E9647D" w:rsidRDefault="00E9647D" w:rsidP="001703E5">
      <w:pPr>
        <w:rPr>
          <w:lang w:val="en-US"/>
        </w:rPr>
      </w:pP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5FCB70AC" w14:textId="077CE1D0" w:rsidR="00155346" w:rsidRPr="00155346" w:rsidRDefault="00155346" w:rsidP="00ED643D">
      <w:pPr>
        <w:rPr>
          <w:lang w:val="en-US"/>
        </w:rPr>
      </w:pPr>
      <w:r>
        <w:rPr>
          <w:lang w:val="en-US"/>
        </w:rPr>
        <w:t xml:space="preserve">In this paper we discuss the </w:t>
      </w:r>
      <w:r w:rsidR="00693D20">
        <w:rPr>
          <w:lang w:val="en-US"/>
        </w:rPr>
        <w:t>regulatory background applicable to the Extended L-band definition and we conclude the following:</w:t>
      </w:r>
    </w:p>
    <w:p w14:paraId="2A633D45" w14:textId="464DF5C6" w:rsidR="00030C97" w:rsidRDefault="00030C97" w:rsidP="00041B57">
      <w:pPr>
        <w:pStyle w:val="ListParagraph"/>
        <w:numPr>
          <w:ilvl w:val="0"/>
          <w:numId w:val="17"/>
        </w:numPr>
        <w:rPr>
          <w:b/>
          <w:bCs/>
          <w:lang w:val="en-US"/>
        </w:rPr>
      </w:pPr>
      <w:r>
        <w:rPr>
          <w:b/>
          <w:bCs/>
          <w:lang w:val="en-US"/>
        </w:rPr>
        <w:t xml:space="preserve">The MSS Extended L-band, </w:t>
      </w:r>
      <w:r w:rsidRPr="00030C97">
        <w:rPr>
          <w:b/>
          <w:bCs/>
          <w:lang w:val="en-US"/>
        </w:rPr>
        <w:t>1518-1525 MHz (space-to-Earth) and 1668-1675 MHz (Earth-to-space)</w:t>
      </w:r>
      <w:r>
        <w:rPr>
          <w:b/>
          <w:bCs/>
          <w:lang w:val="en-US"/>
        </w:rPr>
        <w:t>,</w:t>
      </w:r>
      <w:r w:rsidRPr="00030C97">
        <w:rPr>
          <w:b/>
          <w:bCs/>
          <w:lang w:val="en-US"/>
        </w:rPr>
        <w:t xml:space="preserve"> </w:t>
      </w:r>
      <w:r>
        <w:rPr>
          <w:b/>
          <w:bCs/>
          <w:lang w:val="en-US"/>
        </w:rPr>
        <w:t>has long been used for</w:t>
      </w:r>
      <w:r w:rsidRPr="00030C97">
        <w:rPr>
          <w:b/>
          <w:bCs/>
          <w:lang w:val="en-US"/>
        </w:rPr>
        <w:t xml:space="preserve"> Maritime and Aeronautical mission-critical safety and emergency services.  This use of the band is expected to continue and grow, </w:t>
      </w:r>
      <w:r>
        <w:rPr>
          <w:b/>
          <w:bCs/>
          <w:lang w:val="en-US"/>
        </w:rPr>
        <w:t xml:space="preserve">and progressively adopt more and more </w:t>
      </w:r>
      <w:r w:rsidRPr="00030C97">
        <w:rPr>
          <w:b/>
          <w:bCs/>
          <w:lang w:val="en-US"/>
        </w:rPr>
        <w:t>3GPP NTN specifications</w:t>
      </w:r>
      <w:r>
        <w:rPr>
          <w:b/>
          <w:bCs/>
          <w:lang w:val="en-US"/>
        </w:rPr>
        <w:t>.</w:t>
      </w:r>
      <w:r>
        <w:rPr>
          <w:b/>
          <w:bCs/>
          <w:lang w:val="en-US"/>
        </w:rPr>
        <w:br/>
      </w:r>
    </w:p>
    <w:p w14:paraId="2C37BF97" w14:textId="3FEAB65F" w:rsidR="00041B57" w:rsidRPr="00041B57" w:rsidRDefault="00041B57" w:rsidP="00041B57">
      <w:pPr>
        <w:pStyle w:val="ListParagraph"/>
        <w:numPr>
          <w:ilvl w:val="0"/>
          <w:numId w:val="17"/>
        </w:numPr>
        <w:rPr>
          <w:b/>
          <w:bCs/>
          <w:lang w:val="en-US"/>
        </w:rPr>
      </w:pPr>
      <w:r>
        <w:rPr>
          <w:b/>
          <w:bCs/>
          <w:lang w:val="en-US"/>
        </w:rPr>
        <w:t xml:space="preserve">ITU-R Recommendations and WRC Resolutions encourage </w:t>
      </w:r>
      <w:r w:rsidRPr="00012F79">
        <w:rPr>
          <w:b/>
          <w:bCs/>
          <w:lang w:val="en-US"/>
        </w:rPr>
        <w:t>administrations to consider additional frequency separation below</w:t>
      </w:r>
      <w:r>
        <w:rPr>
          <w:b/>
          <w:bCs/>
          <w:lang w:val="en-US"/>
        </w:rPr>
        <w:t xml:space="preserve"> </w:t>
      </w:r>
      <w:r w:rsidRPr="00012F79">
        <w:rPr>
          <w:b/>
          <w:bCs/>
          <w:lang w:val="en-US"/>
        </w:rPr>
        <w:t>1518 MHz</w:t>
      </w:r>
      <w:r>
        <w:rPr>
          <w:b/>
          <w:bCs/>
          <w:lang w:val="en-US"/>
        </w:rPr>
        <w:t xml:space="preserve">, with </w:t>
      </w:r>
      <w:r w:rsidRPr="00AE6BE7">
        <w:rPr>
          <w:b/>
          <w:bCs/>
          <w:lang w:val="en-US"/>
        </w:rPr>
        <w:t>a total separation of different values up to 6 MHz</w:t>
      </w:r>
      <w:r>
        <w:rPr>
          <w:b/>
          <w:bCs/>
          <w:lang w:val="en-US"/>
        </w:rPr>
        <w:t xml:space="preserve">, </w:t>
      </w:r>
      <w:r w:rsidRPr="00012F79">
        <w:rPr>
          <w:b/>
          <w:bCs/>
          <w:lang w:val="en-US"/>
        </w:rPr>
        <w:t>to protect existing MSS services starting from the 1518 MHz boundary.</w:t>
      </w:r>
      <w:r>
        <w:rPr>
          <w:b/>
          <w:bCs/>
          <w:lang w:val="en-US"/>
        </w:rPr>
        <w:br/>
      </w:r>
    </w:p>
    <w:p w14:paraId="637A9D77" w14:textId="74AF23AD" w:rsidR="00155346" w:rsidRDefault="001C301F" w:rsidP="00ED643D">
      <w:pPr>
        <w:pStyle w:val="ListParagraph"/>
        <w:numPr>
          <w:ilvl w:val="0"/>
          <w:numId w:val="17"/>
        </w:numPr>
        <w:rPr>
          <w:b/>
          <w:bCs/>
          <w:lang w:val="en-US"/>
        </w:rPr>
      </w:pPr>
      <w:r w:rsidRPr="00155346">
        <w:rPr>
          <w:b/>
          <w:bCs/>
          <w:lang w:val="en-US"/>
        </w:rPr>
        <w:lastRenderedPageBreak/>
        <w:t>ECC Report</w:t>
      </w:r>
      <w:r w:rsidR="002571F0" w:rsidRPr="00155346">
        <w:rPr>
          <w:b/>
          <w:bCs/>
          <w:lang w:val="en-US"/>
        </w:rPr>
        <w:t>s</w:t>
      </w:r>
      <w:r w:rsidRPr="00155346">
        <w:rPr>
          <w:b/>
          <w:bCs/>
          <w:lang w:val="en-US"/>
        </w:rPr>
        <w:t xml:space="preserve"> 263</w:t>
      </w:r>
      <w:r w:rsidR="002571F0" w:rsidRPr="00155346">
        <w:rPr>
          <w:b/>
          <w:bCs/>
          <w:lang w:val="en-US"/>
        </w:rPr>
        <w:t xml:space="preserve">, 299 and ECC Decision (17)06 </w:t>
      </w:r>
      <w:r w:rsidR="0089365C">
        <w:rPr>
          <w:b/>
          <w:bCs/>
          <w:lang w:val="en-US"/>
        </w:rPr>
        <w:t>note that the</w:t>
      </w:r>
      <w:r w:rsidR="00493BC1" w:rsidRPr="00155346">
        <w:rPr>
          <w:b/>
          <w:bCs/>
          <w:lang w:val="en-US"/>
        </w:rPr>
        <w:t xml:space="preserve"> IMT block end</w:t>
      </w:r>
      <w:r w:rsidR="0089365C">
        <w:rPr>
          <w:b/>
          <w:bCs/>
          <w:lang w:val="en-US"/>
        </w:rPr>
        <w:t>s</w:t>
      </w:r>
      <w:r w:rsidR="00493BC1" w:rsidRPr="00155346">
        <w:rPr>
          <w:b/>
          <w:bCs/>
          <w:lang w:val="en-US"/>
        </w:rPr>
        <w:t xml:space="preserve"> at 1517 MHz</w:t>
      </w:r>
      <w:r w:rsidR="002571F0" w:rsidRPr="00155346">
        <w:rPr>
          <w:b/>
          <w:bCs/>
          <w:lang w:val="en-US"/>
        </w:rPr>
        <w:t xml:space="preserve"> and stipulate a baseline guard band with MSS of 1 MHz</w:t>
      </w:r>
      <w:r w:rsidR="00155346" w:rsidRPr="00155346">
        <w:rPr>
          <w:b/>
          <w:bCs/>
          <w:lang w:val="en-US"/>
        </w:rPr>
        <w:t xml:space="preserve"> in the 1517-1518 MHz range</w:t>
      </w:r>
      <w:r w:rsidR="00493BC1" w:rsidRPr="00155346">
        <w:rPr>
          <w:b/>
          <w:bCs/>
          <w:lang w:val="en-US"/>
        </w:rPr>
        <w:t>.</w:t>
      </w:r>
      <w:r w:rsidR="00155346">
        <w:rPr>
          <w:b/>
          <w:bCs/>
          <w:lang w:val="en-US"/>
        </w:rPr>
        <w:br/>
      </w:r>
    </w:p>
    <w:p w14:paraId="31252591" w14:textId="180A2A79" w:rsidR="00AE6BE7" w:rsidRPr="00041B57" w:rsidRDefault="00D84CDD" w:rsidP="00041B57">
      <w:pPr>
        <w:pStyle w:val="ListParagraph"/>
        <w:numPr>
          <w:ilvl w:val="0"/>
          <w:numId w:val="17"/>
        </w:numPr>
        <w:rPr>
          <w:b/>
          <w:bCs/>
          <w:lang w:val="en-US"/>
        </w:rPr>
      </w:pPr>
      <w:r w:rsidRPr="00155346">
        <w:rPr>
          <w:b/>
          <w:bCs/>
          <w:lang w:val="en-US"/>
        </w:rPr>
        <w:t>ECC Report 263 studies always assume IMT base stations operating at frequency offsets of 1, 3 and 6 MHz below 1518 MHz with the MSS MES operat</w:t>
      </w:r>
      <w:r w:rsidR="00566562">
        <w:rPr>
          <w:b/>
          <w:bCs/>
          <w:lang w:val="en-US"/>
        </w:rPr>
        <w:t>ion starting from 1518 MHz, with a first 200 kHz channel</w:t>
      </w:r>
      <w:r w:rsidRPr="00155346">
        <w:rPr>
          <w:b/>
          <w:bCs/>
          <w:lang w:val="en-US"/>
        </w:rPr>
        <w:t xml:space="preserve"> at 1518.1 MHz, thereby no recommendation is made to introduce any guard band within the MSS band.</w:t>
      </w:r>
      <w:r w:rsidR="00AE6BE7" w:rsidRPr="00041B57">
        <w:rPr>
          <w:b/>
          <w:bCs/>
          <w:lang w:val="en-US"/>
        </w:rPr>
        <w:br/>
      </w:r>
    </w:p>
    <w:p w14:paraId="1130FEEE" w14:textId="3C7577C3" w:rsidR="008951B2" w:rsidRPr="00012F79" w:rsidRDefault="00AE6BE7" w:rsidP="00012F79">
      <w:pPr>
        <w:pStyle w:val="ListParagraph"/>
        <w:numPr>
          <w:ilvl w:val="0"/>
          <w:numId w:val="17"/>
        </w:numPr>
        <w:rPr>
          <w:b/>
          <w:bCs/>
          <w:lang w:val="en-US"/>
        </w:rPr>
      </w:pPr>
      <w:r>
        <w:rPr>
          <w:b/>
          <w:bCs/>
          <w:lang w:val="en-US"/>
        </w:rPr>
        <w:t xml:space="preserve">ECC Report 299 </w:t>
      </w:r>
      <w:r w:rsidRPr="00AE6BE7">
        <w:rPr>
          <w:b/>
          <w:bCs/>
          <w:lang w:val="en-US"/>
        </w:rPr>
        <w:t xml:space="preserve">recommends </w:t>
      </w:r>
      <w:r>
        <w:rPr>
          <w:b/>
          <w:bCs/>
          <w:lang w:val="en-US"/>
        </w:rPr>
        <w:t xml:space="preserve">even further </w:t>
      </w:r>
      <w:r w:rsidRPr="00AE6BE7">
        <w:rPr>
          <w:b/>
          <w:bCs/>
          <w:lang w:val="en-US"/>
        </w:rPr>
        <w:t>PFD limits on base stations operating in the frequency band ending at 1517 MHz to provide additional protections to MSS terminals operating in airports and seaports</w:t>
      </w:r>
      <w:r>
        <w:rPr>
          <w:b/>
          <w:bCs/>
          <w:lang w:val="en-US"/>
        </w:rPr>
        <w:t>.</w:t>
      </w:r>
      <w:r w:rsidR="008951B2" w:rsidRPr="00012F79">
        <w:rPr>
          <w:b/>
          <w:bCs/>
          <w:lang w:val="en-US"/>
        </w:rPr>
        <w:br/>
      </w:r>
    </w:p>
    <w:p w14:paraId="78932D74" w14:textId="63635FA2" w:rsidR="0089365C" w:rsidRPr="008951B2" w:rsidRDefault="008951B2" w:rsidP="00ED643D">
      <w:pPr>
        <w:pStyle w:val="ListParagraph"/>
        <w:numPr>
          <w:ilvl w:val="0"/>
          <w:numId w:val="17"/>
        </w:numPr>
        <w:rPr>
          <w:b/>
          <w:bCs/>
          <w:lang w:val="en-US"/>
        </w:rPr>
      </w:pPr>
      <w:r>
        <w:rPr>
          <w:b/>
          <w:bCs/>
          <w:lang w:val="en-US"/>
        </w:rPr>
        <w:t>From previous observations, we can conclude that t</w:t>
      </w:r>
      <w:r w:rsidRPr="008951B2">
        <w:rPr>
          <w:b/>
          <w:bCs/>
          <w:lang w:val="en-US"/>
        </w:rPr>
        <w:t>he introduction of any guard band in the new NTN Extended L-band is not aligned with regulation, and</w:t>
      </w:r>
      <w:r>
        <w:rPr>
          <w:b/>
          <w:bCs/>
          <w:lang w:val="en-US"/>
        </w:rPr>
        <w:t xml:space="preserve"> moreover not warranted.</w:t>
      </w:r>
    </w:p>
    <w:p w14:paraId="2F43013C" w14:textId="00A813DD" w:rsidR="0060748A" w:rsidRPr="002126C8" w:rsidRDefault="0060748A" w:rsidP="002126C8">
      <w:pPr>
        <w:rPr>
          <w:b/>
          <w:bCs/>
          <w:lang w:val="en-US"/>
        </w:rPr>
      </w:pPr>
      <w:r w:rsidRPr="002126C8">
        <w:rPr>
          <w:b/>
          <w:bCs/>
          <w:lang w:val="en-US"/>
        </w:rPr>
        <w:br/>
      </w:r>
    </w:p>
    <w:p w14:paraId="571BFD5A" w14:textId="77777777" w:rsidR="000454A3" w:rsidRDefault="00683329" w:rsidP="00ED643D">
      <w:pPr>
        <w:pStyle w:val="ListParagraph"/>
        <w:numPr>
          <w:ilvl w:val="0"/>
          <w:numId w:val="18"/>
        </w:numPr>
        <w:rPr>
          <w:b/>
          <w:bCs/>
          <w:lang w:val="en-US"/>
        </w:rPr>
      </w:pPr>
      <w:r w:rsidRPr="0060748A">
        <w:rPr>
          <w:b/>
          <w:bCs/>
          <w:lang w:val="en-US"/>
        </w:rPr>
        <w:t xml:space="preserve">Agree specification of NTN Extended L-band DL frequency range from 1518-1525 MHz, in line with </w:t>
      </w:r>
      <w:r w:rsidR="00C6053D" w:rsidRPr="0060748A">
        <w:rPr>
          <w:b/>
          <w:bCs/>
          <w:lang w:val="en-US"/>
        </w:rPr>
        <w:t>ITU-R, WRC and country regulations</w:t>
      </w:r>
      <w:r w:rsidR="000454A3">
        <w:rPr>
          <w:b/>
          <w:bCs/>
          <w:lang w:val="en-US"/>
        </w:rPr>
        <w:t>, as per table below</w:t>
      </w:r>
      <w:r w:rsidRPr="0060748A">
        <w:rPr>
          <w:b/>
          <w:bCs/>
          <w:lang w:val="en-US"/>
        </w:rPr>
        <w:t>.</w:t>
      </w:r>
    </w:p>
    <w:p w14:paraId="67D34D2B" w14:textId="288A9336" w:rsidR="000454A3" w:rsidRDefault="000454A3" w:rsidP="000454A3">
      <w:pPr>
        <w:pStyle w:val="ListParagraph"/>
        <w:overflowPunct/>
        <w:autoSpaceDE/>
        <w:autoSpaceDN/>
        <w:adjustRightInd/>
        <w:spacing w:after="120"/>
        <w:contextualSpacing w:val="0"/>
        <w:textAlignment w:val="auto"/>
        <w:rPr>
          <w:rFonts w:eastAsia="SimSun"/>
          <w:color w:val="0070C0"/>
          <w:szCs w:val="24"/>
          <w:lang w:val="en-US" w:eastAsia="zh-CN"/>
        </w:rPr>
      </w:pPr>
      <w:r>
        <w:t xml:space="preserve">                              Table </w:t>
      </w:r>
      <w:r>
        <w:rPr>
          <w:rFonts w:hint="eastAsia"/>
          <w:lang w:val="en-US" w:eastAsia="zh-CN"/>
        </w:rPr>
        <w:t>2</w:t>
      </w:r>
      <w:r>
        <w:t>.</w:t>
      </w:r>
      <w:r>
        <w:rPr>
          <w:rFonts w:hint="eastAsia"/>
          <w:lang w:val="en-US" w:eastAsia="zh-CN"/>
        </w:rPr>
        <w:t>1</w:t>
      </w:r>
      <w:r>
        <w:t>-1: E-UTRA operating bands for satellite access</w:t>
      </w:r>
    </w:p>
    <w:tbl>
      <w:tblPr>
        <w:tblW w:w="7123" w:type="dxa"/>
        <w:jc w:val="center"/>
        <w:tblLook w:val="04A0" w:firstRow="1" w:lastRow="0" w:firstColumn="1" w:lastColumn="0" w:noHBand="0" w:noVBand="1"/>
      </w:tblPr>
      <w:tblGrid>
        <w:gridCol w:w="1298"/>
        <w:gridCol w:w="1043"/>
        <w:gridCol w:w="444"/>
        <w:gridCol w:w="1080"/>
        <w:gridCol w:w="1091"/>
        <w:gridCol w:w="438"/>
        <w:gridCol w:w="912"/>
        <w:gridCol w:w="817"/>
      </w:tblGrid>
      <w:tr w:rsidR="000454A3" w14:paraId="0F67F3D0" w14:textId="77777777" w:rsidTr="00A860A3">
        <w:trPr>
          <w:trHeight w:val="677"/>
          <w:jc w:val="center"/>
        </w:trPr>
        <w:tc>
          <w:tcPr>
            <w:tcW w:w="1305" w:type="dxa"/>
            <w:vMerge w:val="restart"/>
            <w:tcBorders>
              <w:top w:val="single" w:sz="4" w:space="0" w:color="auto"/>
              <w:left w:val="single" w:sz="4" w:space="0" w:color="auto"/>
              <w:right w:val="single" w:sz="4" w:space="0" w:color="auto"/>
            </w:tcBorders>
            <w:vAlign w:val="center"/>
          </w:tcPr>
          <w:p w14:paraId="304464E8" w14:textId="77777777" w:rsidR="000454A3" w:rsidRDefault="000454A3" w:rsidP="00A860A3">
            <w:pPr>
              <w:pStyle w:val="TAH"/>
              <w:rPr>
                <w:rFonts w:cs="Arial"/>
              </w:rPr>
            </w:pPr>
            <w:r>
              <w:rPr>
                <w:rFonts w:cs="Arial"/>
              </w:rPr>
              <w:t>E</w:t>
            </w:r>
            <w:r>
              <w:rPr>
                <w:rFonts w:cs="Arial"/>
              </w:rPr>
              <w:noBreakHyphen/>
              <w:t>UTRA Operating Band</w:t>
            </w: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4ADFDC8A" w14:textId="77777777" w:rsidR="000454A3" w:rsidRPr="000D4E91" w:rsidRDefault="000454A3" w:rsidP="00A860A3">
            <w:pPr>
              <w:pStyle w:val="TAH"/>
              <w:rPr>
                <w:rFonts w:cs="Arial"/>
                <w:lang w:val="en-US"/>
              </w:rPr>
            </w:pPr>
            <w:r w:rsidRPr="000D4E91">
              <w:rPr>
                <w:rFonts w:cs="Arial"/>
                <w:lang w:val="en-US"/>
              </w:rPr>
              <w:t>Uplink (UL) operating band</w:t>
            </w:r>
            <w:r w:rsidRPr="000D4E91">
              <w:rPr>
                <w:rFonts w:cs="Arial"/>
                <w:lang w:val="en-US"/>
              </w:rPr>
              <w:br/>
              <w:t>BS receive</w:t>
            </w:r>
            <w:r w:rsidRPr="000D4E91">
              <w:rPr>
                <w:rFonts w:cs="Arial"/>
                <w:lang w:val="en-US"/>
              </w:rPr>
              <w:br/>
              <w:t>UE transmit</w:t>
            </w:r>
          </w:p>
        </w:tc>
        <w:tc>
          <w:tcPr>
            <w:tcW w:w="2464" w:type="dxa"/>
            <w:gridSpan w:val="3"/>
            <w:tcBorders>
              <w:top w:val="single" w:sz="4" w:space="0" w:color="auto"/>
              <w:bottom w:val="single" w:sz="4" w:space="0" w:color="auto"/>
              <w:right w:val="single" w:sz="4" w:space="0" w:color="auto"/>
            </w:tcBorders>
            <w:vAlign w:val="center"/>
          </w:tcPr>
          <w:p w14:paraId="091C862F" w14:textId="77777777" w:rsidR="000454A3" w:rsidRPr="000D4E91" w:rsidRDefault="000454A3" w:rsidP="00A860A3">
            <w:pPr>
              <w:pStyle w:val="TAH"/>
              <w:rPr>
                <w:rFonts w:cs="Arial"/>
                <w:lang w:val="en-US"/>
              </w:rPr>
            </w:pPr>
            <w:r w:rsidRPr="000D4E91">
              <w:rPr>
                <w:rFonts w:cs="Arial"/>
                <w:lang w:val="en-US"/>
              </w:rPr>
              <w:t>Downlink (DL) operating band</w:t>
            </w:r>
            <w:r w:rsidRPr="000D4E91">
              <w:rPr>
                <w:rFonts w:cs="Arial"/>
                <w:lang w:val="en-US"/>
              </w:rPr>
              <w:br/>
              <w:t xml:space="preserve">BS transmit </w:t>
            </w:r>
            <w:r w:rsidRPr="000D4E91">
              <w:rPr>
                <w:rFonts w:cs="Arial"/>
                <w:lang w:val="en-US"/>
              </w:rPr>
              <w:br/>
              <w:t>UE receive</w:t>
            </w:r>
          </w:p>
        </w:tc>
        <w:tc>
          <w:tcPr>
            <w:tcW w:w="753" w:type="dxa"/>
            <w:vMerge w:val="restart"/>
            <w:tcBorders>
              <w:top w:val="single" w:sz="4" w:space="0" w:color="auto"/>
              <w:left w:val="single" w:sz="4" w:space="0" w:color="auto"/>
              <w:right w:val="single" w:sz="4" w:space="0" w:color="auto"/>
            </w:tcBorders>
          </w:tcPr>
          <w:p w14:paraId="265469B4" w14:textId="77777777" w:rsidR="000454A3" w:rsidRDefault="000454A3" w:rsidP="00A860A3">
            <w:pPr>
              <w:pStyle w:val="TAH"/>
              <w:rPr>
                <w:rFonts w:cs="Arial"/>
              </w:rPr>
            </w:pPr>
            <w:r>
              <w:rPr>
                <w:rFonts w:cs="Arial"/>
              </w:rPr>
              <w:t>Duplex Mode</w:t>
            </w:r>
          </w:p>
        </w:tc>
      </w:tr>
      <w:tr w:rsidR="000454A3" w14:paraId="7E70AC24" w14:textId="77777777" w:rsidTr="00A860A3">
        <w:trPr>
          <w:trHeight w:val="157"/>
          <w:jc w:val="center"/>
        </w:trPr>
        <w:tc>
          <w:tcPr>
            <w:tcW w:w="1305" w:type="dxa"/>
            <w:vMerge/>
            <w:tcBorders>
              <w:left w:val="single" w:sz="4" w:space="0" w:color="auto"/>
              <w:bottom w:val="single" w:sz="4" w:space="0" w:color="auto"/>
              <w:right w:val="single" w:sz="4" w:space="0" w:color="auto"/>
            </w:tcBorders>
            <w:vAlign w:val="center"/>
          </w:tcPr>
          <w:p w14:paraId="220128BD" w14:textId="77777777" w:rsidR="000454A3" w:rsidRDefault="000454A3" w:rsidP="00A860A3">
            <w:pPr>
              <w:pStyle w:val="TAH"/>
              <w:rPr>
                <w:rFonts w:cs="Arial"/>
              </w:rPr>
            </w:pP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21849AA7" w14:textId="77777777" w:rsidR="000454A3" w:rsidRPr="000D4E91" w:rsidRDefault="000454A3" w:rsidP="00A860A3">
            <w:pPr>
              <w:pStyle w:val="TAH"/>
              <w:rPr>
                <w:rFonts w:cs="Arial"/>
                <w:lang w:val="en-US"/>
              </w:rPr>
            </w:pPr>
            <w:r w:rsidRPr="000D4E91">
              <w:rPr>
                <w:rFonts w:cs="Arial"/>
                <w:lang w:val="en-US"/>
              </w:rPr>
              <w:t>F</w:t>
            </w:r>
            <w:r w:rsidRPr="000D4E91">
              <w:rPr>
                <w:rFonts w:cs="Arial"/>
                <w:vertAlign w:val="subscript"/>
                <w:lang w:val="en-US"/>
              </w:rPr>
              <w:t>UL_low</w:t>
            </w:r>
            <w:r w:rsidRPr="000D4E91">
              <w:rPr>
                <w:rFonts w:cs="Arial"/>
                <w:lang w:val="en-US"/>
              </w:rPr>
              <w:t xml:space="preserve">   –  F</w:t>
            </w:r>
            <w:r w:rsidRPr="000D4E91">
              <w:rPr>
                <w:rFonts w:cs="Arial"/>
                <w:vertAlign w:val="subscript"/>
                <w:lang w:val="en-US"/>
              </w:rPr>
              <w:t>UL_high</w:t>
            </w:r>
          </w:p>
        </w:tc>
        <w:tc>
          <w:tcPr>
            <w:tcW w:w="2464" w:type="dxa"/>
            <w:gridSpan w:val="3"/>
            <w:tcBorders>
              <w:top w:val="single" w:sz="4" w:space="0" w:color="auto"/>
              <w:bottom w:val="single" w:sz="4" w:space="0" w:color="auto"/>
              <w:right w:val="single" w:sz="4" w:space="0" w:color="auto"/>
            </w:tcBorders>
            <w:vAlign w:val="center"/>
          </w:tcPr>
          <w:p w14:paraId="772DB0C9" w14:textId="77777777" w:rsidR="000454A3" w:rsidRPr="000D4E91" w:rsidRDefault="000454A3" w:rsidP="00A860A3">
            <w:pPr>
              <w:pStyle w:val="TAH"/>
              <w:rPr>
                <w:rFonts w:cs="Arial"/>
                <w:lang w:val="en-US"/>
              </w:rPr>
            </w:pPr>
            <w:r w:rsidRPr="000D4E91">
              <w:rPr>
                <w:rFonts w:cs="Arial"/>
                <w:lang w:val="en-US"/>
              </w:rPr>
              <w:t>F</w:t>
            </w:r>
            <w:r w:rsidRPr="000D4E91">
              <w:rPr>
                <w:rFonts w:cs="Arial"/>
                <w:vertAlign w:val="subscript"/>
                <w:lang w:val="en-US"/>
              </w:rPr>
              <w:t>DL_low</w:t>
            </w:r>
            <w:r w:rsidRPr="000D4E91">
              <w:rPr>
                <w:rFonts w:cs="Arial"/>
                <w:lang w:val="en-US"/>
              </w:rPr>
              <w:t xml:space="preserve">  –  F</w:t>
            </w:r>
            <w:r w:rsidRPr="000D4E91">
              <w:rPr>
                <w:rFonts w:cs="Arial"/>
                <w:vertAlign w:val="subscript"/>
                <w:lang w:val="en-US"/>
              </w:rPr>
              <w:t>DL_high</w:t>
            </w:r>
          </w:p>
        </w:tc>
        <w:tc>
          <w:tcPr>
            <w:tcW w:w="753" w:type="dxa"/>
            <w:vMerge/>
            <w:tcBorders>
              <w:left w:val="single" w:sz="4" w:space="0" w:color="auto"/>
              <w:bottom w:val="single" w:sz="4" w:space="0" w:color="auto"/>
              <w:right w:val="single" w:sz="4" w:space="0" w:color="auto"/>
            </w:tcBorders>
          </w:tcPr>
          <w:p w14:paraId="2EE41119" w14:textId="77777777" w:rsidR="000454A3" w:rsidRPr="000D4E91" w:rsidRDefault="000454A3" w:rsidP="00A860A3">
            <w:pPr>
              <w:pStyle w:val="TAC"/>
              <w:rPr>
                <w:rFonts w:cs="Arial"/>
                <w:lang w:val="en-US"/>
              </w:rPr>
            </w:pPr>
          </w:p>
        </w:tc>
      </w:tr>
      <w:tr w:rsidR="000454A3" w14:paraId="14D93178" w14:textId="77777777" w:rsidTr="00A860A3">
        <w:trPr>
          <w:trHeight w:val="214"/>
          <w:jc w:val="center"/>
        </w:trPr>
        <w:tc>
          <w:tcPr>
            <w:tcW w:w="1305" w:type="dxa"/>
            <w:tcBorders>
              <w:top w:val="single" w:sz="4" w:space="0" w:color="auto"/>
              <w:left w:val="single" w:sz="4" w:space="0" w:color="auto"/>
              <w:bottom w:val="single" w:sz="4" w:space="0" w:color="auto"/>
              <w:right w:val="single" w:sz="4" w:space="0" w:color="auto"/>
            </w:tcBorders>
          </w:tcPr>
          <w:p w14:paraId="4388ECE5" w14:textId="170E5FEC" w:rsidR="000454A3" w:rsidRDefault="000454A3" w:rsidP="00A860A3">
            <w:pPr>
              <w:pStyle w:val="TAC"/>
              <w:rPr>
                <w:rFonts w:cs="Arial"/>
                <w:lang w:val="en-US" w:eastAsia="zh-CN"/>
              </w:rPr>
            </w:pPr>
            <w:r>
              <w:rPr>
                <w:rFonts w:cs="Arial"/>
              </w:rPr>
              <w:t>25</w:t>
            </w:r>
            <w:r>
              <w:rPr>
                <w:rFonts w:cs="Arial" w:hint="eastAsia"/>
                <w:lang w:val="en-US" w:eastAsia="zh-CN"/>
              </w:rPr>
              <w:t>3</w:t>
            </w:r>
          </w:p>
        </w:tc>
        <w:tc>
          <w:tcPr>
            <w:tcW w:w="1061" w:type="dxa"/>
            <w:tcBorders>
              <w:top w:val="single" w:sz="4" w:space="0" w:color="auto"/>
              <w:left w:val="single" w:sz="4" w:space="0" w:color="auto"/>
              <w:bottom w:val="single" w:sz="4" w:space="0" w:color="auto"/>
              <w:right w:val="nil"/>
            </w:tcBorders>
          </w:tcPr>
          <w:p w14:paraId="76F4E4EE" w14:textId="77777777" w:rsidR="000454A3" w:rsidRDefault="000454A3" w:rsidP="00A860A3">
            <w:pPr>
              <w:pStyle w:val="TAR"/>
              <w:wordWrap w:val="0"/>
              <w:rPr>
                <w:rFonts w:cs="Arial"/>
                <w:lang w:eastAsia="zh-CN"/>
              </w:rPr>
            </w:pPr>
            <w:r>
              <w:rPr>
                <w:rFonts w:cs="Arial" w:hint="eastAsia"/>
                <w:lang w:val="en-US" w:eastAsia="zh-CN"/>
              </w:rPr>
              <w:t>1668</w:t>
            </w:r>
            <w:r>
              <w:rPr>
                <w:rFonts w:cs="Arial"/>
                <w:lang w:eastAsia="zh-CN"/>
              </w:rPr>
              <w:t xml:space="preserve"> MHz</w:t>
            </w:r>
          </w:p>
        </w:tc>
        <w:tc>
          <w:tcPr>
            <w:tcW w:w="447" w:type="dxa"/>
            <w:tcBorders>
              <w:top w:val="single" w:sz="4" w:space="0" w:color="auto"/>
              <w:left w:val="nil"/>
              <w:bottom w:val="single" w:sz="4" w:space="0" w:color="auto"/>
              <w:right w:val="nil"/>
            </w:tcBorders>
          </w:tcPr>
          <w:p w14:paraId="2BFF7333" w14:textId="77777777" w:rsidR="000454A3" w:rsidRDefault="000454A3" w:rsidP="00A860A3">
            <w:pPr>
              <w:pStyle w:val="TAC"/>
              <w:rPr>
                <w:rFonts w:cs="Arial"/>
                <w:lang w:eastAsia="zh-CN"/>
              </w:rPr>
            </w:pPr>
            <w:r>
              <w:rPr>
                <w:rFonts w:cs="Arial"/>
                <w:lang w:eastAsia="zh-CN"/>
              </w:rPr>
              <w:t>–</w:t>
            </w:r>
          </w:p>
        </w:tc>
        <w:tc>
          <w:tcPr>
            <w:tcW w:w="1091" w:type="dxa"/>
            <w:tcBorders>
              <w:top w:val="single" w:sz="4" w:space="0" w:color="auto"/>
              <w:left w:val="nil"/>
              <w:bottom w:val="single" w:sz="4" w:space="0" w:color="auto"/>
              <w:right w:val="single" w:sz="4" w:space="0" w:color="auto"/>
            </w:tcBorders>
          </w:tcPr>
          <w:p w14:paraId="01F3455F" w14:textId="77777777" w:rsidR="000454A3" w:rsidRDefault="000454A3" w:rsidP="00A860A3">
            <w:pPr>
              <w:pStyle w:val="TAL"/>
              <w:rPr>
                <w:rFonts w:cs="Arial"/>
                <w:lang w:eastAsia="zh-CN"/>
              </w:rPr>
            </w:pPr>
            <w:r>
              <w:rPr>
                <w:rFonts w:cs="Arial" w:hint="eastAsia"/>
                <w:lang w:val="en-US" w:eastAsia="zh-CN"/>
              </w:rPr>
              <w:t>1675</w:t>
            </w:r>
            <w:r>
              <w:rPr>
                <w:rFonts w:cs="Arial"/>
                <w:lang w:eastAsia="zh-CN"/>
              </w:rPr>
              <w:t xml:space="preserve"> MHz</w:t>
            </w:r>
          </w:p>
        </w:tc>
        <w:tc>
          <w:tcPr>
            <w:tcW w:w="1103" w:type="dxa"/>
            <w:tcBorders>
              <w:top w:val="single" w:sz="4" w:space="0" w:color="auto"/>
              <w:left w:val="nil"/>
              <w:bottom w:val="single" w:sz="4" w:space="0" w:color="auto"/>
              <w:right w:val="nil"/>
            </w:tcBorders>
          </w:tcPr>
          <w:p w14:paraId="6CB8F8D1" w14:textId="77777777" w:rsidR="000454A3" w:rsidRDefault="000454A3" w:rsidP="00A860A3">
            <w:pPr>
              <w:pStyle w:val="TAR"/>
            </w:pPr>
            <w:r>
              <w:rPr>
                <w:rFonts w:hint="eastAsia"/>
                <w:lang w:val="en-US" w:eastAsia="zh-CN"/>
              </w:rPr>
              <w:t>1518</w:t>
            </w:r>
            <w:r>
              <w:t xml:space="preserve"> MHz</w:t>
            </w:r>
          </w:p>
        </w:tc>
        <w:tc>
          <w:tcPr>
            <w:tcW w:w="441" w:type="dxa"/>
            <w:tcBorders>
              <w:top w:val="single" w:sz="4" w:space="0" w:color="auto"/>
              <w:left w:val="nil"/>
              <w:bottom w:val="single" w:sz="4" w:space="0" w:color="auto"/>
              <w:right w:val="nil"/>
            </w:tcBorders>
          </w:tcPr>
          <w:p w14:paraId="0F2E69AF" w14:textId="77777777" w:rsidR="000454A3" w:rsidRDefault="000454A3" w:rsidP="00A860A3">
            <w:pPr>
              <w:pStyle w:val="TAC"/>
            </w:pPr>
            <w:r>
              <w:t>–</w:t>
            </w:r>
          </w:p>
        </w:tc>
        <w:tc>
          <w:tcPr>
            <w:tcW w:w="918" w:type="dxa"/>
            <w:tcBorders>
              <w:top w:val="single" w:sz="4" w:space="0" w:color="auto"/>
              <w:left w:val="nil"/>
              <w:bottom w:val="single" w:sz="4" w:space="0" w:color="auto"/>
              <w:right w:val="single" w:sz="4" w:space="0" w:color="auto"/>
            </w:tcBorders>
          </w:tcPr>
          <w:p w14:paraId="02991D71" w14:textId="77777777" w:rsidR="000454A3" w:rsidRDefault="000454A3" w:rsidP="00A860A3">
            <w:pPr>
              <w:pStyle w:val="TAL"/>
            </w:pPr>
            <w:r>
              <w:rPr>
                <w:rFonts w:hint="eastAsia"/>
                <w:lang w:val="en-US" w:eastAsia="zh-CN"/>
              </w:rPr>
              <w:t>1525</w:t>
            </w:r>
            <w:r>
              <w:t xml:space="preserve"> MHz</w:t>
            </w:r>
          </w:p>
        </w:tc>
        <w:tc>
          <w:tcPr>
            <w:tcW w:w="753" w:type="dxa"/>
            <w:tcBorders>
              <w:top w:val="single" w:sz="4" w:space="0" w:color="auto"/>
              <w:left w:val="single" w:sz="4" w:space="0" w:color="auto"/>
              <w:bottom w:val="single" w:sz="4" w:space="0" w:color="auto"/>
              <w:right w:val="single" w:sz="4" w:space="0" w:color="auto"/>
            </w:tcBorders>
          </w:tcPr>
          <w:p w14:paraId="470B3ABD" w14:textId="77777777" w:rsidR="000454A3" w:rsidRDefault="000454A3" w:rsidP="00A860A3">
            <w:pPr>
              <w:pStyle w:val="TAC"/>
              <w:rPr>
                <w:rFonts w:cs="Arial"/>
              </w:rPr>
            </w:pPr>
            <w:r>
              <w:rPr>
                <w:rFonts w:cs="Arial" w:hint="eastAsia"/>
                <w:lang w:eastAsia="ja-JP"/>
              </w:rPr>
              <w:t>FDD</w:t>
            </w:r>
          </w:p>
        </w:tc>
      </w:tr>
      <w:tr w:rsidR="000454A3" w14:paraId="48A19EB2" w14:textId="77777777" w:rsidTr="00A860A3">
        <w:trPr>
          <w:trHeight w:val="214"/>
          <w:jc w:val="center"/>
        </w:trPr>
        <w:tc>
          <w:tcPr>
            <w:tcW w:w="7123" w:type="dxa"/>
            <w:gridSpan w:val="8"/>
            <w:tcBorders>
              <w:top w:val="single" w:sz="4" w:space="0" w:color="auto"/>
              <w:left w:val="single" w:sz="4" w:space="0" w:color="auto"/>
              <w:bottom w:val="single" w:sz="4" w:space="0" w:color="auto"/>
              <w:right w:val="single" w:sz="4" w:space="0" w:color="auto"/>
            </w:tcBorders>
          </w:tcPr>
          <w:p w14:paraId="6B4B73AD" w14:textId="77777777" w:rsidR="000454A3" w:rsidRPr="000D4E91" w:rsidRDefault="000454A3" w:rsidP="00A860A3">
            <w:pPr>
              <w:pStyle w:val="TAN"/>
              <w:rPr>
                <w:lang w:val="en-US"/>
              </w:rPr>
            </w:pPr>
            <w:r w:rsidRPr="000D4E91">
              <w:rPr>
                <w:lang w:val="en-US"/>
              </w:rPr>
              <w:t>NOTE:</w:t>
            </w:r>
            <w:r w:rsidRPr="000D4E91">
              <w:rPr>
                <w:lang w:val="en-US"/>
              </w:rPr>
              <w:tab/>
              <w:t>Satellite bands are numbered in descending order from 256</w:t>
            </w:r>
          </w:p>
        </w:tc>
      </w:tr>
    </w:tbl>
    <w:p w14:paraId="4D2650FB" w14:textId="33F4F306" w:rsidR="0060748A" w:rsidRDefault="000454A3" w:rsidP="000454A3">
      <w:pPr>
        <w:pStyle w:val="ListParagraph"/>
        <w:rPr>
          <w:b/>
          <w:bCs/>
          <w:lang w:val="en-US"/>
        </w:rPr>
      </w:pPr>
      <w:r>
        <w:rPr>
          <w:b/>
          <w:bCs/>
          <w:lang w:val="en-US"/>
        </w:rPr>
        <w:br/>
      </w:r>
      <w:r w:rsidR="0060748A">
        <w:rPr>
          <w:b/>
          <w:bCs/>
          <w:lang w:val="en-US"/>
        </w:rPr>
        <w:br/>
      </w:r>
    </w:p>
    <w:p w14:paraId="07E3D87E" w14:textId="36C219A5" w:rsidR="00825CD8" w:rsidRDefault="00C6053D" w:rsidP="00736D21">
      <w:pPr>
        <w:pStyle w:val="ListParagraph"/>
        <w:numPr>
          <w:ilvl w:val="0"/>
          <w:numId w:val="18"/>
        </w:numPr>
        <w:rPr>
          <w:b/>
          <w:bCs/>
          <w:lang w:val="en-US"/>
        </w:rPr>
      </w:pPr>
      <w:r w:rsidRPr="0060748A">
        <w:rPr>
          <w:b/>
          <w:bCs/>
          <w:lang w:val="en-US"/>
        </w:rPr>
        <w:t xml:space="preserve">For coexistence purposes, and at least for Region 1, consider the assumption of </w:t>
      </w:r>
      <w:r w:rsidR="0060748A" w:rsidRPr="0060748A">
        <w:rPr>
          <w:b/>
          <w:bCs/>
          <w:lang w:val="en-US"/>
        </w:rPr>
        <w:t>Terrestrial deployments</w:t>
      </w:r>
      <w:r w:rsidRPr="0060748A">
        <w:rPr>
          <w:b/>
          <w:bCs/>
          <w:lang w:val="en-US"/>
        </w:rPr>
        <w:t xml:space="preserve"> </w:t>
      </w:r>
      <w:r w:rsidR="007E50F3" w:rsidRPr="0060748A">
        <w:rPr>
          <w:b/>
          <w:bCs/>
          <w:lang w:val="en-US"/>
        </w:rPr>
        <w:t>ending not further than 1517 MHz.</w:t>
      </w:r>
      <w:r w:rsidR="00825CD8">
        <w:rPr>
          <w:b/>
          <w:bCs/>
          <w:lang w:val="en-US"/>
        </w:rPr>
        <w:br/>
      </w:r>
    </w:p>
    <w:p w14:paraId="465CA84F" w14:textId="6BB1C619" w:rsidR="00615057" w:rsidRDefault="00876AE9" w:rsidP="00736D21">
      <w:pPr>
        <w:pStyle w:val="ListParagraph"/>
        <w:numPr>
          <w:ilvl w:val="0"/>
          <w:numId w:val="18"/>
        </w:numPr>
        <w:rPr>
          <w:b/>
          <w:bCs/>
          <w:lang w:val="en-US"/>
        </w:rPr>
      </w:pPr>
      <w:r w:rsidRPr="00876AE9">
        <w:rPr>
          <w:b/>
          <w:bCs/>
          <w:lang w:val="en-US"/>
        </w:rPr>
        <w:t>Although not a requirement, assumptions</w:t>
      </w:r>
      <w:r>
        <w:rPr>
          <w:b/>
          <w:bCs/>
          <w:lang w:val="en-US"/>
        </w:rPr>
        <w:t xml:space="preserve"> from </w:t>
      </w:r>
      <w:r w:rsidRPr="00876AE9">
        <w:rPr>
          <w:b/>
          <w:bCs/>
          <w:lang w:val="en-US"/>
        </w:rPr>
        <w:t xml:space="preserve">TR 38.863 can be </w:t>
      </w:r>
      <w:r>
        <w:rPr>
          <w:b/>
          <w:bCs/>
          <w:lang w:val="en-US"/>
        </w:rPr>
        <w:t>reused</w:t>
      </w:r>
      <w:r w:rsidRPr="00876AE9">
        <w:rPr>
          <w:b/>
          <w:bCs/>
          <w:lang w:val="en-US"/>
        </w:rPr>
        <w:t xml:space="preserve"> as a baseline working assumption when considering System Parameters and UE RF requirements.</w:t>
      </w:r>
      <w:r>
        <w:rPr>
          <w:b/>
          <w:bCs/>
          <w:lang w:val="en-US"/>
        </w:rPr>
        <w:t xml:space="preserve">  This could include assuming at least a 1500m separation distance of an NTN UE </w:t>
      </w:r>
      <w:r w:rsidR="000C25FB">
        <w:rPr>
          <w:b/>
          <w:bCs/>
          <w:lang w:val="en-US"/>
        </w:rPr>
        <w:t>from nearest TN base station operating near the adjacent band.</w:t>
      </w:r>
      <w:r w:rsidR="00615057">
        <w:rPr>
          <w:b/>
          <w:bCs/>
          <w:lang w:val="en-US"/>
        </w:rPr>
        <w:br/>
      </w:r>
    </w:p>
    <w:p w14:paraId="63E4D47A" w14:textId="402FD87B" w:rsidR="005A3169" w:rsidRPr="00615057" w:rsidRDefault="00615057" w:rsidP="00615057">
      <w:pPr>
        <w:pStyle w:val="ListParagraph"/>
        <w:numPr>
          <w:ilvl w:val="0"/>
          <w:numId w:val="18"/>
        </w:numPr>
        <w:rPr>
          <w:b/>
          <w:bCs/>
          <w:lang w:val="en-US"/>
        </w:rPr>
      </w:pPr>
      <w:r>
        <w:rPr>
          <w:b/>
          <w:bCs/>
          <w:lang w:val="en-US"/>
        </w:rPr>
        <w:t xml:space="preserve">Location-based frequency assignment mechanisms can be used by the network to assign DL frequencies to NTN UE appropriately in order to minimize interference.  </w:t>
      </w:r>
      <w:r w:rsidR="00B47955">
        <w:rPr>
          <w:b/>
          <w:bCs/>
          <w:lang w:val="en-US"/>
        </w:rPr>
        <w:t xml:space="preserve">Additionally or alternatively,  interference measurement and mitigation techniques can be </w:t>
      </w:r>
      <w:r w:rsidR="006C6076">
        <w:rPr>
          <w:b/>
          <w:bCs/>
          <w:lang w:val="en-US"/>
        </w:rPr>
        <w:t xml:space="preserve">used </w:t>
      </w:r>
      <w:r w:rsidR="00041B57">
        <w:rPr>
          <w:b/>
          <w:bCs/>
          <w:lang w:val="en-US"/>
        </w:rPr>
        <w:t xml:space="preserve">by the network and UE to detect and mitigate interference. </w:t>
      </w:r>
      <w:r>
        <w:rPr>
          <w:b/>
          <w:bCs/>
          <w:lang w:val="en-US"/>
        </w:rPr>
        <w:t>These methods can be left to operator’s deployment</w:t>
      </w:r>
      <w:r w:rsidR="006C6076">
        <w:rPr>
          <w:b/>
          <w:bCs/>
          <w:lang w:val="en-US"/>
        </w:rPr>
        <w:t xml:space="preserve"> and do not require additional specification</w:t>
      </w:r>
      <w:r>
        <w:rPr>
          <w:b/>
          <w:bCs/>
          <w:lang w:val="en-US"/>
        </w:rPr>
        <w:t>.</w:t>
      </w:r>
      <w:r w:rsidR="0060748A" w:rsidRPr="00615057">
        <w:rPr>
          <w:b/>
          <w:bCs/>
          <w:lang w:val="en-US"/>
        </w:rPr>
        <w:br/>
      </w:r>
    </w:p>
    <w:p w14:paraId="1A7C36B8" w14:textId="357A88B9" w:rsidR="000523C3" w:rsidRPr="00831F95" w:rsidRDefault="005A3169" w:rsidP="00831F95">
      <w:pPr>
        <w:pStyle w:val="ListParagraph"/>
        <w:numPr>
          <w:ilvl w:val="0"/>
          <w:numId w:val="18"/>
        </w:numPr>
        <w:rPr>
          <w:b/>
          <w:bCs/>
          <w:lang w:val="en-US"/>
        </w:rPr>
      </w:pPr>
      <w:r>
        <w:rPr>
          <w:b/>
          <w:bCs/>
          <w:lang w:val="en-US"/>
        </w:rPr>
        <w:t xml:space="preserve">Specify </w:t>
      </w:r>
      <w:r w:rsidR="00831F95">
        <w:rPr>
          <w:b/>
          <w:bCs/>
          <w:lang w:val="en-US"/>
        </w:rPr>
        <w:t>additional optional NS values to allow NTN operators to specify additional blocking requirements if</w:t>
      </w:r>
      <w:r w:rsidR="00856163">
        <w:rPr>
          <w:b/>
          <w:bCs/>
          <w:lang w:val="en-US"/>
        </w:rPr>
        <w:t>, when and where needed, on a per-deployment basis.  Different NS values can be later on specified on a country by country basis to address regional or country-specific requirements.</w:t>
      </w:r>
      <w:r w:rsidR="0060748A" w:rsidRPr="00831F95">
        <w:rPr>
          <w:b/>
          <w:bCs/>
          <w:lang w:val="en-US"/>
        </w:rPr>
        <w:br/>
      </w:r>
    </w:p>
    <w:p w14:paraId="5B90EA5C" w14:textId="378DE2F7" w:rsidR="00B347AE" w:rsidRPr="0060748A" w:rsidRDefault="00573A2C" w:rsidP="00ED643D">
      <w:pPr>
        <w:pStyle w:val="ListParagraph"/>
        <w:numPr>
          <w:ilvl w:val="0"/>
          <w:numId w:val="18"/>
        </w:numPr>
        <w:rPr>
          <w:b/>
          <w:bCs/>
          <w:lang w:val="en-US"/>
        </w:rPr>
      </w:pPr>
      <w:bookmarkStart w:id="0" w:name="_Hlk135083790"/>
      <w:r w:rsidRPr="00573A2C">
        <w:rPr>
          <w:b/>
          <w:bCs/>
          <w:lang w:val="en-US"/>
        </w:rPr>
        <w:t>Agree on Default TX-RX separation of -150 MHz</w:t>
      </w:r>
      <w:r>
        <w:rPr>
          <w:b/>
          <w:bCs/>
          <w:lang w:val="en-US"/>
        </w:rPr>
        <w:t xml:space="preserve"> </w:t>
      </w:r>
    </w:p>
    <w:bookmarkEnd w:id="0"/>
    <w:p w14:paraId="48A10AA4" w14:textId="77777777" w:rsidR="00E204DF" w:rsidRPr="00271629" w:rsidRDefault="00E204DF" w:rsidP="00ED643D">
      <w:pPr>
        <w:rPr>
          <w:b/>
          <w:bCs/>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6EE16585" w14:textId="77777777" w:rsidR="00194F94" w:rsidRDefault="00194F94" w:rsidP="001F2D1F">
      <w:pPr>
        <w:numPr>
          <w:ilvl w:val="0"/>
          <w:numId w:val="16"/>
        </w:numPr>
        <w:tabs>
          <w:tab w:val="num" w:pos="720"/>
          <w:tab w:val="left" w:pos="1080"/>
        </w:tabs>
        <w:rPr>
          <w:lang w:val="en-US" w:eastAsia="x-none"/>
        </w:rPr>
      </w:pPr>
      <w:bookmarkStart w:id="1" w:name="_Hlk859252"/>
      <w:r w:rsidRPr="00194F94">
        <w:rPr>
          <w:lang w:val="en-US" w:eastAsia="x-none"/>
        </w:rPr>
        <w:t>RP-230790, “New WID on Introduction of the Extended L-band (UL 1668-1675, DL 1518-1525) for IoT NTN,” Inmarsat</w:t>
      </w:r>
      <w:bookmarkEnd w:id="1"/>
    </w:p>
    <w:p w14:paraId="3FBCA992" w14:textId="2A9FDDF0" w:rsidR="00194F94" w:rsidRDefault="009E267A" w:rsidP="001F2D1F">
      <w:pPr>
        <w:numPr>
          <w:ilvl w:val="0"/>
          <w:numId w:val="16"/>
        </w:numPr>
        <w:tabs>
          <w:tab w:val="num" w:pos="720"/>
          <w:tab w:val="left" w:pos="1080"/>
        </w:tabs>
        <w:rPr>
          <w:lang w:val="en-US" w:eastAsia="x-none"/>
        </w:rPr>
      </w:pPr>
      <w:r w:rsidRPr="00194F94">
        <w:rPr>
          <w:lang w:val="en-US" w:eastAsia="x-none"/>
        </w:rPr>
        <w:t>R4-2305825</w:t>
      </w:r>
      <w:r w:rsidR="00071E38" w:rsidRPr="00194F94">
        <w:rPr>
          <w:lang w:val="en-US" w:eastAsia="x-none"/>
        </w:rPr>
        <w:t xml:space="preserve">, </w:t>
      </w:r>
      <w:r w:rsidR="00DE6EFF">
        <w:rPr>
          <w:lang w:val="en-US" w:eastAsia="x-none"/>
        </w:rPr>
        <w:t>“</w:t>
      </w:r>
      <w:r w:rsidR="00DE6EFF" w:rsidRPr="00DE6EFF">
        <w:rPr>
          <w:lang w:val="en-US" w:eastAsia="x-none"/>
        </w:rPr>
        <w:t xml:space="preserve">Extended L band for LTE NB-IoT </w:t>
      </w:r>
      <w:r w:rsidR="00DE6EFF">
        <w:rPr>
          <w:lang w:val="en-US" w:eastAsia="x-none"/>
        </w:rPr>
        <w:t xml:space="preserve">“, </w:t>
      </w:r>
      <w:r w:rsidR="00071E38" w:rsidRPr="00194F94">
        <w:rPr>
          <w:lang w:val="en-US" w:eastAsia="x-none"/>
        </w:rPr>
        <w:t>Qualcomm Incorporated</w:t>
      </w:r>
    </w:p>
    <w:p w14:paraId="52120C64" w14:textId="2926BE2E" w:rsidR="00BA37D9" w:rsidRDefault="00FE2CF1" w:rsidP="001F2D1F">
      <w:pPr>
        <w:numPr>
          <w:ilvl w:val="0"/>
          <w:numId w:val="16"/>
        </w:numPr>
        <w:tabs>
          <w:tab w:val="num" w:pos="720"/>
          <w:tab w:val="left" w:pos="1080"/>
        </w:tabs>
        <w:rPr>
          <w:lang w:val="en-US" w:eastAsia="x-none"/>
        </w:rPr>
      </w:pPr>
      <w:r w:rsidRPr="00FE2CF1">
        <w:rPr>
          <w:lang w:val="en-US" w:eastAsia="x-none"/>
        </w:rPr>
        <w:t>R4-2306658</w:t>
      </w:r>
      <w:r>
        <w:rPr>
          <w:lang w:val="en-US" w:eastAsia="x-none"/>
        </w:rPr>
        <w:t xml:space="preserve">, </w:t>
      </w:r>
      <w:r w:rsidR="00CF3C34">
        <w:rPr>
          <w:lang w:val="en-US" w:eastAsia="x-none"/>
        </w:rPr>
        <w:t>“</w:t>
      </w:r>
      <w:r w:rsidR="00CF3C34" w:rsidRPr="00CF3C34">
        <w:rPr>
          <w:lang w:val="en-US" w:eastAsia="x-none"/>
        </w:rPr>
        <w:t>WF on IoT NTN Extended L-band</w:t>
      </w:r>
      <w:r w:rsidR="00CF3C34">
        <w:rPr>
          <w:lang w:val="en-US" w:eastAsia="x-none"/>
        </w:rPr>
        <w:t xml:space="preserve">”, </w:t>
      </w:r>
      <w:r w:rsidR="00715333" w:rsidRPr="00715333">
        <w:rPr>
          <w:lang w:val="en-US" w:eastAsia="x-none"/>
        </w:rPr>
        <w:t>Inmarsat</w:t>
      </w:r>
    </w:p>
    <w:p w14:paraId="4E5AC36D" w14:textId="70CD878D" w:rsidR="006552E2" w:rsidRDefault="006552E2" w:rsidP="001F2D1F">
      <w:pPr>
        <w:numPr>
          <w:ilvl w:val="0"/>
          <w:numId w:val="16"/>
        </w:numPr>
        <w:tabs>
          <w:tab w:val="num" w:pos="720"/>
          <w:tab w:val="left" w:pos="1080"/>
        </w:tabs>
        <w:rPr>
          <w:lang w:val="en-US" w:eastAsia="x-none"/>
        </w:rPr>
      </w:pPr>
      <w:r>
        <w:lastRenderedPageBreak/>
        <w:t>Status of IMT implementation in the L-band</w:t>
      </w:r>
      <w:r w:rsidR="001A6C57">
        <w:t xml:space="preserve">; </w:t>
      </w:r>
      <w:hyperlink r:id="rId21" w:history="1">
        <w:r w:rsidR="001A6C57" w:rsidRPr="006A440C">
          <w:rPr>
            <w:rStyle w:val="Hyperlink"/>
          </w:rPr>
          <w:t>https://rfd.gov.vn/content/hoinghihoithao/Lists/DanhSachHoiNghiHoiThao/Attachments/38/2.1.%20Status%20of%20L-band%20for%20IMT%20implementation.pdf</w:t>
        </w:r>
      </w:hyperlink>
      <w:r w:rsidR="001A6C57">
        <w:t xml:space="preserve"> </w:t>
      </w:r>
    </w:p>
    <w:p w14:paraId="465A55B1" w14:textId="0DBEE89D" w:rsidR="00194F94" w:rsidRDefault="00DE6EFF" w:rsidP="001F2D1F">
      <w:pPr>
        <w:numPr>
          <w:ilvl w:val="0"/>
          <w:numId w:val="16"/>
        </w:numPr>
        <w:tabs>
          <w:tab w:val="num" w:pos="720"/>
          <w:tab w:val="left" w:pos="1080"/>
        </w:tabs>
        <w:rPr>
          <w:lang w:val="en-US" w:eastAsia="x-none"/>
        </w:rPr>
      </w:pPr>
      <w:r>
        <w:rPr>
          <w:lang w:val="en-US" w:eastAsia="x-none"/>
        </w:rPr>
        <w:t xml:space="preserve">WRC </w:t>
      </w:r>
      <w:r w:rsidR="00670F4B" w:rsidRPr="001F2D1F">
        <w:rPr>
          <w:lang w:val="en-US" w:eastAsia="x-none"/>
        </w:rPr>
        <w:t>RESOLUTION 223 (REV.WRC-1</w:t>
      </w:r>
      <w:r>
        <w:rPr>
          <w:lang w:val="en-US" w:eastAsia="x-none"/>
        </w:rPr>
        <w:t>5</w:t>
      </w:r>
      <w:r w:rsidR="00670F4B" w:rsidRPr="001F2D1F">
        <w:rPr>
          <w:lang w:val="en-US" w:eastAsia="x-none"/>
        </w:rPr>
        <w:t>)</w:t>
      </w:r>
      <w:r>
        <w:rPr>
          <w:lang w:val="en-US" w:eastAsia="x-none"/>
        </w:rPr>
        <w:t>,</w:t>
      </w:r>
      <w:r w:rsidR="00670F4B" w:rsidRPr="001F2D1F">
        <w:rPr>
          <w:lang w:val="en-US" w:eastAsia="x-none"/>
        </w:rPr>
        <w:t xml:space="preserve"> Additional frequency bands identified for International Mobile Telecommunications</w:t>
      </w:r>
    </w:p>
    <w:p w14:paraId="6FEE74DF" w14:textId="543C2430" w:rsidR="00595F42" w:rsidRPr="00595F42" w:rsidRDefault="00595F42" w:rsidP="00595F42">
      <w:pPr>
        <w:numPr>
          <w:ilvl w:val="0"/>
          <w:numId w:val="16"/>
        </w:numPr>
        <w:tabs>
          <w:tab w:val="num" w:pos="720"/>
          <w:tab w:val="left" w:pos="1080"/>
        </w:tabs>
        <w:rPr>
          <w:lang w:val="en-US" w:eastAsia="x-none"/>
        </w:rPr>
      </w:pPr>
      <w:r>
        <w:rPr>
          <w:lang w:val="en-US" w:eastAsia="x-none"/>
        </w:rPr>
        <w:t xml:space="preserve">WRC </w:t>
      </w:r>
      <w:r w:rsidRPr="001F2D1F">
        <w:rPr>
          <w:lang w:val="en-US" w:eastAsia="x-none"/>
        </w:rPr>
        <w:t>RESOLUTION 223 (REV.WRC-1</w:t>
      </w:r>
      <w:r>
        <w:rPr>
          <w:lang w:val="en-US" w:eastAsia="x-none"/>
        </w:rPr>
        <w:t>9</w:t>
      </w:r>
      <w:r w:rsidRPr="001F2D1F">
        <w:rPr>
          <w:lang w:val="en-US" w:eastAsia="x-none"/>
        </w:rPr>
        <w:t>)</w:t>
      </w:r>
      <w:r>
        <w:rPr>
          <w:lang w:val="en-US" w:eastAsia="x-none"/>
        </w:rPr>
        <w:t>,</w:t>
      </w:r>
      <w:r w:rsidRPr="001F2D1F">
        <w:rPr>
          <w:lang w:val="en-US" w:eastAsia="x-none"/>
        </w:rPr>
        <w:t xml:space="preserve"> Additional frequency bands identified for International Mobile Telecommunications</w:t>
      </w:r>
    </w:p>
    <w:p w14:paraId="6CCD8834" w14:textId="6A1AE92A" w:rsidR="001A6C57" w:rsidRPr="001A6C57" w:rsidRDefault="001A6C57" w:rsidP="001A6C57">
      <w:pPr>
        <w:numPr>
          <w:ilvl w:val="0"/>
          <w:numId w:val="16"/>
        </w:numPr>
        <w:tabs>
          <w:tab w:val="num" w:pos="720"/>
          <w:tab w:val="left" w:pos="1080"/>
        </w:tabs>
        <w:rPr>
          <w:lang w:val="en-US" w:eastAsia="x-none"/>
        </w:rPr>
      </w:pPr>
      <w:r w:rsidRPr="001F2D1F">
        <w:rPr>
          <w:lang w:val="en-US" w:eastAsia="x-none"/>
        </w:rPr>
        <w:t>ITU</w:t>
      </w:r>
      <w:r>
        <w:rPr>
          <w:lang w:val="en-US" w:eastAsia="x-none"/>
        </w:rPr>
        <w:t xml:space="preserve">-R </w:t>
      </w:r>
      <w:r w:rsidRPr="001F2D1F">
        <w:rPr>
          <w:lang w:val="en-US" w:eastAsia="x-none"/>
        </w:rPr>
        <w:t>Recommendation M.1036-6</w:t>
      </w:r>
    </w:p>
    <w:p w14:paraId="009ED8A6" w14:textId="62D90559" w:rsidR="00194F94" w:rsidRDefault="00194F94" w:rsidP="001F2D1F">
      <w:pPr>
        <w:numPr>
          <w:ilvl w:val="0"/>
          <w:numId w:val="16"/>
        </w:numPr>
        <w:tabs>
          <w:tab w:val="num" w:pos="720"/>
          <w:tab w:val="left" w:pos="1080"/>
        </w:tabs>
        <w:rPr>
          <w:lang w:val="en-US" w:eastAsia="x-none"/>
        </w:rPr>
      </w:pPr>
      <w:r w:rsidRPr="00194F94">
        <w:rPr>
          <w:lang w:val="en-US" w:eastAsia="x-none"/>
        </w:rPr>
        <w:t xml:space="preserve">ECC Report 263, “Adjacent band compatibility studies between IMT operating in the frequency band 1492-1518 MHz and the MSS operating in the frequency band 1518-1552 MHz,” Approved 03 March 2017. </w:t>
      </w:r>
    </w:p>
    <w:p w14:paraId="3AAF236A" w14:textId="2AFA4B0C" w:rsidR="00CF14BC" w:rsidRPr="003D4F1F" w:rsidRDefault="00CF14BC" w:rsidP="003D4F1F">
      <w:pPr>
        <w:pStyle w:val="ListParagraph"/>
        <w:numPr>
          <w:ilvl w:val="0"/>
          <w:numId w:val="16"/>
        </w:numPr>
        <w:rPr>
          <w:lang w:val="en-US"/>
        </w:rPr>
      </w:pPr>
      <w:r w:rsidRPr="00CF14BC">
        <w:rPr>
          <w:lang w:val="en-US"/>
        </w:rPr>
        <w:t>ECC Report 299</w:t>
      </w:r>
      <w:r>
        <w:rPr>
          <w:lang w:val="en-US"/>
        </w:rPr>
        <w:t xml:space="preserve">, </w:t>
      </w:r>
      <w:r w:rsidR="00BA1641">
        <w:rPr>
          <w:lang w:val="en-US"/>
        </w:rPr>
        <w:t>“</w:t>
      </w:r>
      <w:r w:rsidR="003D4F1F" w:rsidRPr="003D4F1F">
        <w:rPr>
          <w:lang w:val="en-US"/>
        </w:rPr>
        <w:t>Measures to address potential blocking of MES operating in bands adjacent to 1518 MHz (including 1525-1559 MHz) at seaports and airports</w:t>
      </w:r>
      <w:r w:rsidR="00BA1641">
        <w:rPr>
          <w:lang w:val="en-US"/>
        </w:rPr>
        <w:t xml:space="preserve">”, </w:t>
      </w:r>
      <w:r w:rsidR="00BA1641" w:rsidRPr="00BA1641">
        <w:rPr>
          <w:lang w:val="en-US"/>
        </w:rPr>
        <w:t>Approved 8 March 2019</w:t>
      </w:r>
      <w:r w:rsidR="00BA1641">
        <w:rPr>
          <w:lang w:val="en-US"/>
        </w:rPr>
        <w:t>.</w:t>
      </w:r>
    </w:p>
    <w:p w14:paraId="664616D2" w14:textId="521E27FE" w:rsidR="00A642B2" w:rsidRPr="00026986" w:rsidRDefault="00A642B2" w:rsidP="00026986">
      <w:pPr>
        <w:numPr>
          <w:ilvl w:val="0"/>
          <w:numId w:val="16"/>
        </w:numPr>
        <w:tabs>
          <w:tab w:val="left" w:pos="1080"/>
        </w:tabs>
      </w:pPr>
      <w:r>
        <w:t>ECC Decision (17)06</w:t>
      </w:r>
      <w:r w:rsidR="00026986">
        <w:t>, The harmonised use of the frequency bands1427-1452 MHz and 1492-1518 MHz for Mobile/Fixed Communications NetworksSupplemental Downlink (MFCN SDL)</w:t>
      </w:r>
    </w:p>
    <w:p w14:paraId="6CFEEE95" w14:textId="38F30BB3" w:rsidR="00715333" w:rsidRDefault="00715333" w:rsidP="00715333">
      <w:pPr>
        <w:numPr>
          <w:ilvl w:val="0"/>
          <w:numId w:val="16"/>
        </w:numPr>
        <w:tabs>
          <w:tab w:val="num" w:pos="720"/>
          <w:tab w:val="left" w:pos="1080"/>
        </w:tabs>
        <w:rPr>
          <w:lang w:val="en-US" w:eastAsia="x-none"/>
        </w:rPr>
      </w:pPr>
      <w:r w:rsidRPr="00194F94">
        <w:rPr>
          <w:lang w:val="en-US" w:eastAsia="x-none"/>
        </w:rPr>
        <w:t>3GPP TR 38.863; Solutions for NR to support non-terrestrial networks (NTN): Non-terrestrial networks (NTN) related RF and co-existence aspects (Release 17)</w:t>
      </w:r>
    </w:p>
    <w:p w14:paraId="5F149E9A" w14:textId="2B91F3D7" w:rsidR="004E4433" w:rsidRPr="00715333" w:rsidRDefault="00B36DE3" w:rsidP="00715333">
      <w:pPr>
        <w:numPr>
          <w:ilvl w:val="0"/>
          <w:numId w:val="16"/>
        </w:numPr>
        <w:tabs>
          <w:tab w:val="num" w:pos="720"/>
          <w:tab w:val="left" w:pos="1080"/>
        </w:tabs>
        <w:rPr>
          <w:lang w:val="en-US" w:eastAsia="x-none"/>
        </w:rPr>
      </w:pPr>
      <w:hyperlink r:id="rId22" w:history="1">
        <w:r w:rsidR="004E4433" w:rsidRPr="006A440C">
          <w:rPr>
            <w:rStyle w:val="Hyperlink"/>
            <w:lang w:val="en-US" w:eastAsia="x-none"/>
          </w:rPr>
          <w:t>https://rfd.gov.vn/content/hoinghihoithao/Lists/DanhSachHoiNghiHoiThao/Attachments/38/2.2.%20Use%20of%20L-band%20in%20Japan%20for%20IMT.pdf</w:t>
        </w:r>
      </w:hyperlink>
      <w:r w:rsidR="004E4433">
        <w:rPr>
          <w:lang w:val="en-US" w:eastAsia="x-none"/>
        </w:rPr>
        <w:t xml:space="preserve"> </w:t>
      </w:r>
    </w:p>
    <w:p w14:paraId="5EED69D7" w14:textId="7AED673F" w:rsidR="00096587" w:rsidRDefault="00096587" w:rsidP="00194F94">
      <w:pPr>
        <w:tabs>
          <w:tab w:val="left" w:pos="1080"/>
        </w:tabs>
        <w:rPr>
          <w:lang w:val="en-US" w:eastAsia="x-none"/>
        </w:rPr>
      </w:pPr>
    </w:p>
    <w:sectPr w:rsidR="00096587" w:rsidSect="00521ED0">
      <w:footerReference w:type="even" r:id="rId23"/>
      <w:footerReference w:type="default" r:id="rId24"/>
      <w:footerReference w:type="first" r:id="rId2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C0A0F" w14:textId="77777777" w:rsidR="00A21D13" w:rsidRDefault="00A21D13">
      <w:r>
        <w:separator/>
      </w:r>
    </w:p>
  </w:endnote>
  <w:endnote w:type="continuationSeparator" w:id="0">
    <w:p w14:paraId="3418669D" w14:textId="77777777" w:rsidR="00A21D13" w:rsidRDefault="00A21D13">
      <w:r>
        <w:continuationSeparator/>
      </w:r>
    </w:p>
  </w:endnote>
  <w:endnote w:type="continuationNotice" w:id="1">
    <w:p w14:paraId="61A29E7A" w14:textId="77777777" w:rsidR="00A21D13" w:rsidRDefault="00A21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42BB09E3" w:rsidR="00960E3B" w:rsidRDefault="00B57DA3">
    <w:pPr>
      <w:pStyle w:val="Footer"/>
      <w:framePr w:wrap="around" w:vAnchor="text" w:hAnchor="margin" w:xAlign="center" w:y="1"/>
      <w:rPr>
        <w:rStyle w:val="PageNumber"/>
      </w:rPr>
    </w:pPr>
    <w:r>
      <mc:AlternateContent>
        <mc:Choice Requires="wps">
          <w:drawing>
            <wp:anchor distT="0" distB="0" distL="0" distR="0" simplePos="0" relativeHeight="251658240" behindDoc="0" locked="0" layoutInCell="1" allowOverlap="1" wp14:anchorId="1C77228F" wp14:editId="2CDF298D">
              <wp:simplePos x="635" y="635"/>
              <wp:positionH relativeFrom="page">
                <wp:align>left</wp:align>
              </wp:positionH>
              <wp:positionV relativeFrom="page">
                <wp:align>bottom</wp:align>
              </wp:positionV>
              <wp:extent cx="443865" cy="443865"/>
              <wp:effectExtent l="0" t="0" r="1270" b="0"/>
              <wp:wrapNone/>
              <wp:docPr id="3" name="Text Box 3"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64BA19" w14:textId="6B4419AF" w:rsidR="00B57DA3" w:rsidRPr="00B57DA3" w:rsidRDefault="00B57DA3" w:rsidP="00B57DA3">
                          <w:pPr>
                            <w:spacing w:after="0"/>
                            <w:rPr>
                              <w:rFonts w:ascii="Calibri" w:eastAsia="Calibri" w:hAnsi="Calibri" w:cs="Calibri"/>
                              <w:noProof/>
                              <w:color w:val="000000"/>
                              <w:sz w:val="14"/>
                              <w:szCs w:val="14"/>
                            </w:rPr>
                          </w:pPr>
                          <w:r w:rsidRPr="00B57DA3">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77228F" id="_x0000_t202" coordsize="21600,21600" o:spt="202" path="m,l,21600r21600,l21600,xe">
              <v:stroke joinstyle="miter"/>
              <v:path gradientshapeok="t" o:connecttype="rect"/>
            </v:shapetype>
            <v:shape id="Text Box 3" o:spid="_x0000_s1026"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864BA19" w14:textId="6B4419AF" w:rsidR="00B57DA3" w:rsidRPr="00B57DA3" w:rsidRDefault="00B57DA3" w:rsidP="00B57DA3">
                    <w:pPr>
                      <w:spacing w:after="0"/>
                      <w:rPr>
                        <w:rFonts w:ascii="Calibri" w:eastAsia="Calibri" w:hAnsi="Calibri" w:cs="Calibri"/>
                        <w:noProof/>
                        <w:color w:val="000000"/>
                        <w:sz w:val="14"/>
                        <w:szCs w:val="14"/>
                      </w:rPr>
                    </w:pPr>
                    <w:r w:rsidRPr="00B57DA3">
                      <w:rPr>
                        <w:rFonts w:ascii="Calibri" w:eastAsia="Calibri" w:hAnsi="Calibri" w:cs="Calibri"/>
                        <w:noProof/>
                        <w:color w:val="000000"/>
                        <w:sz w:val="14"/>
                        <w:szCs w:val="14"/>
                      </w:rPr>
                      <w:t>RESTRICTED | © INMARSAT</w:t>
                    </w:r>
                  </w:p>
                </w:txbxContent>
              </v:textbox>
              <w10:wrap anchorx="page" anchory="page"/>
            </v:shape>
          </w:pict>
        </mc:Fallback>
      </mc:AlternateContent>
    </w:r>
    <w:r w:rsidR="00960E3B">
      <w:rPr>
        <w:rStyle w:val="PageNumber"/>
      </w:rPr>
      <w:fldChar w:fldCharType="begin"/>
    </w:r>
    <w:r w:rsidR="00960E3B">
      <w:rPr>
        <w:rStyle w:val="PageNumber"/>
      </w:rPr>
      <w:instrText xml:space="preserve">PAGE  </w:instrText>
    </w:r>
    <w:r w:rsidR="00960E3B">
      <w:rPr>
        <w:rStyle w:val="PageNumber"/>
      </w:rPr>
      <w:fldChar w:fldCharType="separate"/>
    </w:r>
    <w:r w:rsidR="00960E3B">
      <w:rPr>
        <w:rStyle w:val="PageNumber"/>
      </w:rPr>
      <w:t>1</w:t>
    </w:r>
    <w:r w:rsidR="00960E3B">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11F81C16" w:rsidR="00960E3B" w:rsidRDefault="00B57DA3">
    <w:pPr>
      <w:pStyle w:val="Footer"/>
      <w:ind w:right="360"/>
    </w:pPr>
    <w:r>
      <mc:AlternateContent>
        <mc:Choice Requires="wps">
          <w:drawing>
            <wp:anchor distT="0" distB="0" distL="0" distR="0" simplePos="0" relativeHeight="251658241" behindDoc="0" locked="0" layoutInCell="1" allowOverlap="1" wp14:anchorId="765A3A60" wp14:editId="7278C9FF">
              <wp:simplePos x="635" y="635"/>
              <wp:positionH relativeFrom="page">
                <wp:align>left</wp:align>
              </wp:positionH>
              <wp:positionV relativeFrom="page">
                <wp:align>bottom</wp:align>
              </wp:positionV>
              <wp:extent cx="443865" cy="443865"/>
              <wp:effectExtent l="0" t="0" r="1270" b="0"/>
              <wp:wrapNone/>
              <wp:docPr id="4" name="Text Box 4"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230D3E" w14:textId="07BFC7DD" w:rsidR="00B57DA3" w:rsidRPr="00B57DA3" w:rsidRDefault="00B57DA3" w:rsidP="00B57DA3">
                          <w:pPr>
                            <w:spacing w:after="0"/>
                            <w:rPr>
                              <w:rFonts w:ascii="Calibri" w:eastAsia="Calibri" w:hAnsi="Calibri" w:cs="Calibri"/>
                              <w:noProof/>
                              <w:color w:val="000000"/>
                              <w:sz w:val="14"/>
                              <w:szCs w:val="14"/>
                            </w:rPr>
                          </w:pPr>
                          <w:r w:rsidRPr="00B57DA3">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5A3A60" id="_x0000_t202" coordsize="21600,21600" o:spt="202" path="m,l,21600r21600,l21600,xe">
              <v:stroke joinstyle="miter"/>
              <v:path gradientshapeok="t" o:connecttype="rect"/>
            </v:shapetype>
            <v:shape id="Text Box 4" o:spid="_x0000_s1027" type="#_x0000_t202" alt="RESTRICTED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1C230D3E" w14:textId="07BFC7DD" w:rsidR="00B57DA3" w:rsidRPr="00B57DA3" w:rsidRDefault="00B57DA3" w:rsidP="00B57DA3">
                    <w:pPr>
                      <w:spacing w:after="0"/>
                      <w:rPr>
                        <w:rFonts w:ascii="Calibri" w:eastAsia="Calibri" w:hAnsi="Calibri" w:cs="Calibri"/>
                        <w:noProof/>
                        <w:color w:val="000000"/>
                        <w:sz w:val="14"/>
                        <w:szCs w:val="14"/>
                      </w:rPr>
                    </w:pPr>
                    <w:r w:rsidRPr="00B57DA3">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FEBA" w14:textId="6E8AE23E" w:rsidR="00B57DA3" w:rsidRDefault="00B57DA3">
    <w:pPr>
      <w:pStyle w:val="Footer"/>
    </w:pPr>
    <w:r>
      <mc:AlternateContent>
        <mc:Choice Requires="wps">
          <w:drawing>
            <wp:anchor distT="0" distB="0" distL="0" distR="0" simplePos="0" relativeHeight="251658242" behindDoc="0" locked="0" layoutInCell="1" allowOverlap="1" wp14:anchorId="61165B6F" wp14:editId="337D6CED">
              <wp:simplePos x="635" y="635"/>
              <wp:positionH relativeFrom="page">
                <wp:align>left</wp:align>
              </wp:positionH>
              <wp:positionV relativeFrom="page">
                <wp:align>bottom</wp:align>
              </wp:positionV>
              <wp:extent cx="443865" cy="443865"/>
              <wp:effectExtent l="0" t="0" r="1270" b="0"/>
              <wp:wrapNone/>
              <wp:docPr id="1" name="Text Box 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EC13FB" w14:textId="17C75F13" w:rsidR="00B57DA3" w:rsidRPr="00B57DA3" w:rsidRDefault="00B57DA3" w:rsidP="00B57DA3">
                          <w:pPr>
                            <w:spacing w:after="0"/>
                            <w:rPr>
                              <w:rFonts w:ascii="Calibri" w:eastAsia="Calibri" w:hAnsi="Calibri" w:cs="Calibri"/>
                              <w:noProof/>
                              <w:color w:val="000000"/>
                              <w:sz w:val="14"/>
                              <w:szCs w:val="14"/>
                            </w:rPr>
                          </w:pPr>
                          <w:r w:rsidRPr="00B57DA3">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65B6F"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4CEC13FB" w14:textId="17C75F13" w:rsidR="00B57DA3" w:rsidRPr="00B57DA3" w:rsidRDefault="00B57DA3" w:rsidP="00B57DA3">
                    <w:pPr>
                      <w:spacing w:after="0"/>
                      <w:rPr>
                        <w:rFonts w:ascii="Calibri" w:eastAsia="Calibri" w:hAnsi="Calibri" w:cs="Calibri"/>
                        <w:noProof/>
                        <w:color w:val="000000"/>
                        <w:sz w:val="14"/>
                        <w:szCs w:val="14"/>
                      </w:rPr>
                    </w:pPr>
                    <w:r w:rsidRPr="00B57DA3">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D609C" w14:textId="77777777" w:rsidR="00A21D13" w:rsidRDefault="00A21D13">
      <w:r>
        <w:separator/>
      </w:r>
    </w:p>
  </w:footnote>
  <w:footnote w:type="continuationSeparator" w:id="0">
    <w:p w14:paraId="7BCAC2F2" w14:textId="77777777" w:rsidR="00A21D13" w:rsidRDefault="00A21D13">
      <w:r>
        <w:continuationSeparator/>
      </w:r>
    </w:p>
  </w:footnote>
  <w:footnote w:type="continuationNotice" w:id="1">
    <w:p w14:paraId="6ECBA770" w14:textId="77777777" w:rsidR="00A21D13" w:rsidRDefault="00A21D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0338DE"/>
    <w:multiLevelType w:val="hybridMultilevel"/>
    <w:tmpl w:val="D1E25242"/>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E6036"/>
    <w:multiLevelType w:val="hybridMultilevel"/>
    <w:tmpl w:val="72C0AA2C"/>
    <w:lvl w:ilvl="0" w:tplc="608C682A">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2348" w:hanging="360"/>
      </w:pPr>
      <w:rPr>
        <w:rFonts w:ascii="Symbol" w:hAnsi="Symbol" w:hint="default"/>
      </w:rPr>
    </w:lvl>
    <w:lvl w:ilvl="1">
      <w:start w:val="1"/>
      <w:numFmt w:val="bullet"/>
      <w:lvlText w:val=""/>
      <w:lvlJc w:val="left"/>
      <w:pPr>
        <w:ind w:left="1772" w:hanging="360"/>
      </w:pPr>
      <w:rPr>
        <w:rFonts w:ascii="Symbol" w:hAnsi="Symbol"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E370D81"/>
    <w:multiLevelType w:val="hybridMultilevel"/>
    <w:tmpl w:val="920EA21A"/>
    <w:lvl w:ilvl="0" w:tplc="7A9E92B4">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8"/>
  </w:num>
  <w:num w:numId="2" w16cid:durableId="513963709">
    <w:abstractNumId w:val="12"/>
  </w:num>
  <w:num w:numId="3" w16cid:durableId="30959319">
    <w:abstractNumId w:val="16"/>
  </w:num>
  <w:num w:numId="4" w16cid:durableId="1579515455">
    <w:abstractNumId w:val="17"/>
  </w:num>
  <w:num w:numId="5" w16cid:durableId="1213884486">
    <w:abstractNumId w:val="10"/>
  </w:num>
  <w:num w:numId="6" w16cid:durableId="895549640">
    <w:abstractNumId w:val="5"/>
  </w:num>
  <w:num w:numId="7" w16cid:durableId="1494643654">
    <w:abstractNumId w:val="1"/>
  </w:num>
  <w:num w:numId="8" w16cid:durableId="1777947175">
    <w:abstractNumId w:val="14"/>
  </w:num>
  <w:num w:numId="9" w16cid:durableId="461308997">
    <w:abstractNumId w:val="7"/>
  </w:num>
  <w:num w:numId="10" w16cid:durableId="1624651259">
    <w:abstractNumId w:val="9"/>
  </w:num>
  <w:num w:numId="11" w16cid:durableId="1362783709">
    <w:abstractNumId w:val="18"/>
  </w:num>
  <w:num w:numId="12" w16cid:durableId="1425344883">
    <w:abstractNumId w:val="4"/>
  </w:num>
  <w:num w:numId="13" w16cid:durableId="1491755988">
    <w:abstractNumId w:val="0"/>
  </w:num>
  <w:num w:numId="14" w16cid:durableId="1161502242">
    <w:abstractNumId w:val="13"/>
  </w:num>
  <w:num w:numId="15" w16cid:durableId="661813150">
    <w:abstractNumId w:val="3"/>
  </w:num>
  <w:num w:numId="16" w16cid:durableId="1286886139">
    <w:abstractNumId w:val="2"/>
  </w:num>
  <w:num w:numId="17" w16cid:durableId="343290742">
    <w:abstractNumId w:val="15"/>
  </w:num>
  <w:num w:numId="18" w16cid:durableId="1705055671">
    <w:abstractNumId w:val="6"/>
  </w:num>
  <w:num w:numId="19" w16cid:durableId="85422279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2F9"/>
    <w:rsid w:val="00003326"/>
    <w:rsid w:val="00003883"/>
    <w:rsid w:val="000042A1"/>
    <w:rsid w:val="000044E8"/>
    <w:rsid w:val="00004852"/>
    <w:rsid w:val="0000518F"/>
    <w:rsid w:val="00005856"/>
    <w:rsid w:val="00005F10"/>
    <w:rsid w:val="00006028"/>
    <w:rsid w:val="00006110"/>
    <w:rsid w:val="00006186"/>
    <w:rsid w:val="00006198"/>
    <w:rsid w:val="000062E4"/>
    <w:rsid w:val="00006351"/>
    <w:rsid w:val="000065AA"/>
    <w:rsid w:val="0000667F"/>
    <w:rsid w:val="00006710"/>
    <w:rsid w:val="00006C4A"/>
    <w:rsid w:val="00006F97"/>
    <w:rsid w:val="0000702C"/>
    <w:rsid w:val="000071B2"/>
    <w:rsid w:val="00007C8E"/>
    <w:rsid w:val="00010301"/>
    <w:rsid w:val="00010EE0"/>
    <w:rsid w:val="000113CC"/>
    <w:rsid w:val="0001181D"/>
    <w:rsid w:val="00011ADF"/>
    <w:rsid w:val="00011B0B"/>
    <w:rsid w:val="00011C44"/>
    <w:rsid w:val="0001267B"/>
    <w:rsid w:val="00012960"/>
    <w:rsid w:val="00012B14"/>
    <w:rsid w:val="00012F79"/>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986"/>
    <w:rsid w:val="00026BDF"/>
    <w:rsid w:val="00026DB4"/>
    <w:rsid w:val="00027229"/>
    <w:rsid w:val="0002725B"/>
    <w:rsid w:val="00027407"/>
    <w:rsid w:val="00027F27"/>
    <w:rsid w:val="000300E5"/>
    <w:rsid w:val="00030390"/>
    <w:rsid w:val="00030480"/>
    <w:rsid w:val="00030C97"/>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7E4"/>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B57"/>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4A3"/>
    <w:rsid w:val="00045774"/>
    <w:rsid w:val="00045AB4"/>
    <w:rsid w:val="00045BDB"/>
    <w:rsid w:val="00045F4E"/>
    <w:rsid w:val="00046794"/>
    <w:rsid w:val="0004795F"/>
    <w:rsid w:val="000479F8"/>
    <w:rsid w:val="00047A40"/>
    <w:rsid w:val="0005046C"/>
    <w:rsid w:val="00050CD1"/>
    <w:rsid w:val="00051030"/>
    <w:rsid w:val="00051601"/>
    <w:rsid w:val="0005186B"/>
    <w:rsid w:val="00051B04"/>
    <w:rsid w:val="00051E24"/>
    <w:rsid w:val="000523C3"/>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1E38"/>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94C"/>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682B"/>
    <w:rsid w:val="00086D93"/>
    <w:rsid w:val="00087188"/>
    <w:rsid w:val="000872E8"/>
    <w:rsid w:val="00087C5C"/>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6587"/>
    <w:rsid w:val="00096860"/>
    <w:rsid w:val="00096C3C"/>
    <w:rsid w:val="000972E8"/>
    <w:rsid w:val="000974E6"/>
    <w:rsid w:val="0009768A"/>
    <w:rsid w:val="00097714"/>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4FE"/>
    <w:rsid w:val="000A3913"/>
    <w:rsid w:val="000A3A5C"/>
    <w:rsid w:val="000A3A69"/>
    <w:rsid w:val="000A3BD7"/>
    <w:rsid w:val="000A4067"/>
    <w:rsid w:val="000A4E88"/>
    <w:rsid w:val="000A561C"/>
    <w:rsid w:val="000A56B0"/>
    <w:rsid w:val="000A5C2C"/>
    <w:rsid w:val="000A5D62"/>
    <w:rsid w:val="000A6602"/>
    <w:rsid w:val="000A697D"/>
    <w:rsid w:val="000A786A"/>
    <w:rsid w:val="000A794C"/>
    <w:rsid w:val="000A79E3"/>
    <w:rsid w:val="000B00E9"/>
    <w:rsid w:val="000B01E4"/>
    <w:rsid w:val="000B034D"/>
    <w:rsid w:val="000B0A32"/>
    <w:rsid w:val="000B0B23"/>
    <w:rsid w:val="000B0F3E"/>
    <w:rsid w:val="000B14FF"/>
    <w:rsid w:val="000B24B0"/>
    <w:rsid w:val="000B2A42"/>
    <w:rsid w:val="000B2D40"/>
    <w:rsid w:val="000B2EFB"/>
    <w:rsid w:val="000B327D"/>
    <w:rsid w:val="000B37AA"/>
    <w:rsid w:val="000B3A2F"/>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5FB"/>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7E8"/>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C11"/>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F0E0B"/>
    <w:rsid w:val="000F0FD2"/>
    <w:rsid w:val="000F120F"/>
    <w:rsid w:val="000F1DA5"/>
    <w:rsid w:val="000F267E"/>
    <w:rsid w:val="000F2C1B"/>
    <w:rsid w:val="000F323B"/>
    <w:rsid w:val="000F41E3"/>
    <w:rsid w:val="000F5297"/>
    <w:rsid w:val="000F52C4"/>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858"/>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BC8"/>
    <w:rsid w:val="00114D45"/>
    <w:rsid w:val="00114EF7"/>
    <w:rsid w:val="00115243"/>
    <w:rsid w:val="00115572"/>
    <w:rsid w:val="00116046"/>
    <w:rsid w:val="00116F6A"/>
    <w:rsid w:val="00116F74"/>
    <w:rsid w:val="001176B7"/>
    <w:rsid w:val="001219FC"/>
    <w:rsid w:val="00121C56"/>
    <w:rsid w:val="001220CC"/>
    <w:rsid w:val="0012254D"/>
    <w:rsid w:val="00122BED"/>
    <w:rsid w:val="00122F02"/>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7F9"/>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267"/>
    <w:rsid w:val="00155346"/>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2F81"/>
    <w:rsid w:val="00163472"/>
    <w:rsid w:val="0016353B"/>
    <w:rsid w:val="0016364C"/>
    <w:rsid w:val="00163674"/>
    <w:rsid w:val="00163997"/>
    <w:rsid w:val="001639FF"/>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4F94"/>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C57"/>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C8D"/>
    <w:rsid w:val="001C2D1F"/>
    <w:rsid w:val="001C2FC1"/>
    <w:rsid w:val="001C301F"/>
    <w:rsid w:val="001C31FD"/>
    <w:rsid w:val="001C3588"/>
    <w:rsid w:val="001C3FC8"/>
    <w:rsid w:val="001C41EF"/>
    <w:rsid w:val="001C47AE"/>
    <w:rsid w:val="001C4AAD"/>
    <w:rsid w:val="001C504C"/>
    <w:rsid w:val="001C5DB8"/>
    <w:rsid w:val="001C6C24"/>
    <w:rsid w:val="001C7868"/>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776"/>
    <w:rsid w:val="001D6E97"/>
    <w:rsid w:val="001D6FF9"/>
    <w:rsid w:val="001D791E"/>
    <w:rsid w:val="001D7BA7"/>
    <w:rsid w:val="001D7D50"/>
    <w:rsid w:val="001E079C"/>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42E"/>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2D1F"/>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DBA"/>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C8"/>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17FA7"/>
    <w:rsid w:val="002204C0"/>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083"/>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1F0"/>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9E3"/>
    <w:rsid w:val="00265EC8"/>
    <w:rsid w:val="00266622"/>
    <w:rsid w:val="00266B5B"/>
    <w:rsid w:val="00266E01"/>
    <w:rsid w:val="00266EB5"/>
    <w:rsid w:val="00266FA5"/>
    <w:rsid w:val="00267702"/>
    <w:rsid w:val="00267985"/>
    <w:rsid w:val="00267D26"/>
    <w:rsid w:val="00267E4B"/>
    <w:rsid w:val="002701B7"/>
    <w:rsid w:val="00270F79"/>
    <w:rsid w:val="0027136E"/>
    <w:rsid w:val="00271629"/>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67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352"/>
    <w:rsid w:val="002865FA"/>
    <w:rsid w:val="002866C4"/>
    <w:rsid w:val="0028685E"/>
    <w:rsid w:val="00286881"/>
    <w:rsid w:val="002869C0"/>
    <w:rsid w:val="002900D1"/>
    <w:rsid w:val="00290613"/>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159"/>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5DC9"/>
    <w:rsid w:val="002C78BE"/>
    <w:rsid w:val="002C7C8C"/>
    <w:rsid w:val="002C7DED"/>
    <w:rsid w:val="002D05C8"/>
    <w:rsid w:val="002D087B"/>
    <w:rsid w:val="002D0BCE"/>
    <w:rsid w:val="002D0C99"/>
    <w:rsid w:val="002D1392"/>
    <w:rsid w:val="002D1492"/>
    <w:rsid w:val="002D14E8"/>
    <w:rsid w:val="002D1B2B"/>
    <w:rsid w:val="002D2365"/>
    <w:rsid w:val="002D241D"/>
    <w:rsid w:val="002D254B"/>
    <w:rsid w:val="002D25B7"/>
    <w:rsid w:val="002D282D"/>
    <w:rsid w:val="002D2998"/>
    <w:rsid w:val="002D2DBA"/>
    <w:rsid w:val="002D3535"/>
    <w:rsid w:val="002D3A61"/>
    <w:rsid w:val="002D417D"/>
    <w:rsid w:val="002D48F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AF"/>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0F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DD2"/>
    <w:rsid w:val="00315EB5"/>
    <w:rsid w:val="0031602A"/>
    <w:rsid w:val="0031615D"/>
    <w:rsid w:val="003161A1"/>
    <w:rsid w:val="0031643D"/>
    <w:rsid w:val="00316580"/>
    <w:rsid w:val="00316A23"/>
    <w:rsid w:val="00316AB4"/>
    <w:rsid w:val="00316BDE"/>
    <w:rsid w:val="00317548"/>
    <w:rsid w:val="00317F17"/>
    <w:rsid w:val="00317F3D"/>
    <w:rsid w:val="0032005C"/>
    <w:rsid w:val="00320AB6"/>
    <w:rsid w:val="00320B8A"/>
    <w:rsid w:val="0032195A"/>
    <w:rsid w:val="00321A07"/>
    <w:rsid w:val="00321C53"/>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915"/>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D54"/>
    <w:rsid w:val="00343AE0"/>
    <w:rsid w:val="003443F9"/>
    <w:rsid w:val="003445DB"/>
    <w:rsid w:val="00344D9A"/>
    <w:rsid w:val="00344FE2"/>
    <w:rsid w:val="00345CDD"/>
    <w:rsid w:val="00345F62"/>
    <w:rsid w:val="00345FDB"/>
    <w:rsid w:val="00345FF9"/>
    <w:rsid w:val="0034613F"/>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6C00"/>
    <w:rsid w:val="0036788B"/>
    <w:rsid w:val="00367EDE"/>
    <w:rsid w:val="00367F3B"/>
    <w:rsid w:val="00370549"/>
    <w:rsid w:val="00370CA0"/>
    <w:rsid w:val="00370CDE"/>
    <w:rsid w:val="003710AC"/>
    <w:rsid w:val="0037146A"/>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4F1F"/>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821"/>
    <w:rsid w:val="00411DE9"/>
    <w:rsid w:val="00412138"/>
    <w:rsid w:val="004124A6"/>
    <w:rsid w:val="00412BAF"/>
    <w:rsid w:val="00412DB3"/>
    <w:rsid w:val="00412E18"/>
    <w:rsid w:val="0041346E"/>
    <w:rsid w:val="00413DE4"/>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9F1"/>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05C"/>
    <w:rsid w:val="004518E6"/>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729"/>
    <w:rsid w:val="00474907"/>
    <w:rsid w:val="00474A1B"/>
    <w:rsid w:val="00474A60"/>
    <w:rsid w:val="00474D36"/>
    <w:rsid w:val="00474EF8"/>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BC1"/>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5FE"/>
    <w:rsid w:val="004A5B46"/>
    <w:rsid w:val="004A6B1D"/>
    <w:rsid w:val="004A6BB2"/>
    <w:rsid w:val="004A6F6E"/>
    <w:rsid w:val="004A7727"/>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254C"/>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433"/>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3CA1"/>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30D"/>
    <w:rsid w:val="004F750C"/>
    <w:rsid w:val="004F7546"/>
    <w:rsid w:val="004F755F"/>
    <w:rsid w:val="004F79D2"/>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C85"/>
    <w:rsid w:val="00563E46"/>
    <w:rsid w:val="00563ECF"/>
    <w:rsid w:val="00563F76"/>
    <w:rsid w:val="005648D7"/>
    <w:rsid w:val="005648E6"/>
    <w:rsid w:val="0056532B"/>
    <w:rsid w:val="00565824"/>
    <w:rsid w:val="0056583B"/>
    <w:rsid w:val="00565866"/>
    <w:rsid w:val="0056591A"/>
    <w:rsid w:val="00566562"/>
    <w:rsid w:val="00566F0D"/>
    <w:rsid w:val="005673B1"/>
    <w:rsid w:val="0056774B"/>
    <w:rsid w:val="005677A9"/>
    <w:rsid w:val="00567A1D"/>
    <w:rsid w:val="00570586"/>
    <w:rsid w:val="005706C5"/>
    <w:rsid w:val="005719CC"/>
    <w:rsid w:val="00571E71"/>
    <w:rsid w:val="00572669"/>
    <w:rsid w:val="00572C82"/>
    <w:rsid w:val="0057304C"/>
    <w:rsid w:val="005731F7"/>
    <w:rsid w:val="00573A2C"/>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4E6B"/>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92B"/>
    <w:rsid w:val="00595B80"/>
    <w:rsid w:val="00595F42"/>
    <w:rsid w:val="005964BF"/>
    <w:rsid w:val="00596AB4"/>
    <w:rsid w:val="00596B1E"/>
    <w:rsid w:val="00597268"/>
    <w:rsid w:val="00597C40"/>
    <w:rsid w:val="00597E5D"/>
    <w:rsid w:val="005A04F9"/>
    <w:rsid w:val="005A0798"/>
    <w:rsid w:val="005A0847"/>
    <w:rsid w:val="005A085B"/>
    <w:rsid w:val="005A0F20"/>
    <w:rsid w:val="005A1195"/>
    <w:rsid w:val="005A16FC"/>
    <w:rsid w:val="005A196D"/>
    <w:rsid w:val="005A2608"/>
    <w:rsid w:val="005A267F"/>
    <w:rsid w:val="005A29EA"/>
    <w:rsid w:val="005A2E56"/>
    <w:rsid w:val="005A2EA0"/>
    <w:rsid w:val="005A3169"/>
    <w:rsid w:val="005A329D"/>
    <w:rsid w:val="005A4A69"/>
    <w:rsid w:val="005A4C51"/>
    <w:rsid w:val="005A4DBE"/>
    <w:rsid w:val="005A4FF3"/>
    <w:rsid w:val="005A5109"/>
    <w:rsid w:val="005A5467"/>
    <w:rsid w:val="005A5966"/>
    <w:rsid w:val="005A59CF"/>
    <w:rsid w:val="005A5CD5"/>
    <w:rsid w:val="005A5E67"/>
    <w:rsid w:val="005A63D4"/>
    <w:rsid w:val="005A66BE"/>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74A"/>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AD0"/>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649"/>
    <w:rsid w:val="005F37AF"/>
    <w:rsid w:val="005F3CB3"/>
    <w:rsid w:val="005F3EB7"/>
    <w:rsid w:val="005F4315"/>
    <w:rsid w:val="005F4549"/>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2F79"/>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48A"/>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057"/>
    <w:rsid w:val="006152F5"/>
    <w:rsid w:val="00615303"/>
    <w:rsid w:val="0061653C"/>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561"/>
    <w:rsid w:val="0063190E"/>
    <w:rsid w:val="00631917"/>
    <w:rsid w:val="00631C81"/>
    <w:rsid w:val="00631E58"/>
    <w:rsid w:val="00632297"/>
    <w:rsid w:val="0063253F"/>
    <w:rsid w:val="00632651"/>
    <w:rsid w:val="006326A8"/>
    <w:rsid w:val="00632833"/>
    <w:rsid w:val="00632F2F"/>
    <w:rsid w:val="00632FF1"/>
    <w:rsid w:val="0063314D"/>
    <w:rsid w:val="00633CAB"/>
    <w:rsid w:val="006340D4"/>
    <w:rsid w:val="006341CF"/>
    <w:rsid w:val="006344A4"/>
    <w:rsid w:val="00634755"/>
    <w:rsid w:val="00634B97"/>
    <w:rsid w:val="00634C5F"/>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6F9E"/>
    <w:rsid w:val="00647ABC"/>
    <w:rsid w:val="0065058F"/>
    <w:rsid w:val="00650B89"/>
    <w:rsid w:val="00650F37"/>
    <w:rsid w:val="0065104B"/>
    <w:rsid w:val="00651471"/>
    <w:rsid w:val="00651818"/>
    <w:rsid w:val="00651DBD"/>
    <w:rsid w:val="006523AD"/>
    <w:rsid w:val="006523C6"/>
    <w:rsid w:val="0065251A"/>
    <w:rsid w:val="00652940"/>
    <w:rsid w:val="006529FD"/>
    <w:rsid w:val="00652BD8"/>
    <w:rsid w:val="00652D90"/>
    <w:rsid w:val="00653166"/>
    <w:rsid w:val="006531F0"/>
    <w:rsid w:val="00653690"/>
    <w:rsid w:val="006547D3"/>
    <w:rsid w:val="006548F3"/>
    <w:rsid w:val="006549B1"/>
    <w:rsid w:val="006549D3"/>
    <w:rsid w:val="0065508B"/>
    <w:rsid w:val="006551F3"/>
    <w:rsid w:val="006552E2"/>
    <w:rsid w:val="0065554D"/>
    <w:rsid w:val="006555F3"/>
    <w:rsid w:val="00655611"/>
    <w:rsid w:val="00655AB8"/>
    <w:rsid w:val="00655E22"/>
    <w:rsid w:val="00656812"/>
    <w:rsid w:val="0065711D"/>
    <w:rsid w:val="0065744C"/>
    <w:rsid w:val="00657591"/>
    <w:rsid w:val="00660016"/>
    <w:rsid w:val="006601DC"/>
    <w:rsid w:val="006603D5"/>
    <w:rsid w:val="006606E2"/>
    <w:rsid w:val="0066138A"/>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0F4B"/>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329"/>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3D20"/>
    <w:rsid w:val="00694519"/>
    <w:rsid w:val="006947F0"/>
    <w:rsid w:val="00694B07"/>
    <w:rsid w:val="00694BAD"/>
    <w:rsid w:val="006953DC"/>
    <w:rsid w:val="006957D1"/>
    <w:rsid w:val="00695D19"/>
    <w:rsid w:val="00695D3D"/>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C77"/>
    <w:rsid w:val="006B2DBF"/>
    <w:rsid w:val="006B2E7F"/>
    <w:rsid w:val="006B3D8C"/>
    <w:rsid w:val="006B3E16"/>
    <w:rsid w:val="006B4331"/>
    <w:rsid w:val="006B49A4"/>
    <w:rsid w:val="006B49F6"/>
    <w:rsid w:val="006B503E"/>
    <w:rsid w:val="006B532A"/>
    <w:rsid w:val="006B58F5"/>
    <w:rsid w:val="006B5C1D"/>
    <w:rsid w:val="006B5DD2"/>
    <w:rsid w:val="006B5F15"/>
    <w:rsid w:val="006B5FD5"/>
    <w:rsid w:val="006B66DE"/>
    <w:rsid w:val="006B67E8"/>
    <w:rsid w:val="006B6836"/>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076"/>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309"/>
    <w:rsid w:val="006D765E"/>
    <w:rsid w:val="006D7813"/>
    <w:rsid w:val="006E1113"/>
    <w:rsid w:val="006E1941"/>
    <w:rsid w:val="006E1A63"/>
    <w:rsid w:val="006E1B28"/>
    <w:rsid w:val="006E1C46"/>
    <w:rsid w:val="006E249F"/>
    <w:rsid w:val="006E27C5"/>
    <w:rsid w:val="006E2BBF"/>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3FAC"/>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99C"/>
    <w:rsid w:val="00712B7E"/>
    <w:rsid w:val="00712CBA"/>
    <w:rsid w:val="00712F16"/>
    <w:rsid w:val="00713E56"/>
    <w:rsid w:val="00713FA4"/>
    <w:rsid w:val="0071453D"/>
    <w:rsid w:val="00714561"/>
    <w:rsid w:val="00715333"/>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4B8"/>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CE8"/>
    <w:rsid w:val="00732D90"/>
    <w:rsid w:val="0073334B"/>
    <w:rsid w:val="00733723"/>
    <w:rsid w:val="0073383C"/>
    <w:rsid w:val="0073413D"/>
    <w:rsid w:val="0073419D"/>
    <w:rsid w:val="0073467E"/>
    <w:rsid w:val="00734B28"/>
    <w:rsid w:val="00734BE9"/>
    <w:rsid w:val="0073530F"/>
    <w:rsid w:val="007359B8"/>
    <w:rsid w:val="00735FF5"/>
    <w:rsid w:val="00736510"/>
    <w:rsid w:val="00736D21"/>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4B6"/>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33E7"/>
    <w:rsid w:val="007635FF"/>
    <w:rsid w:val="007642EB"/>
    <w:rsid w:val="0076433C"/>
    <w:rsid w:val="007645AE"/>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0DB8"/>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6AD"/>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7EE"/>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5E3"/>
    <w:rsid w:val="007D7E70"/>
    <w:rsid w:val="007E010B"/>
    <w:rsid w:val="007E0170"/>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E9E"/>
    <w:rsid w:val="007E4FED"/>
    <w:rsid w:val="007E50F3"/>
    <w:rsid w:val="007E5120"/>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260"/>
    <w:rsid w:val="007F5B69"/>
    <w:rsid w:val="007F5F94"/>
    <w:rsid w:val="007F605B"/>
    <w:rsid w:val="007F69A5"/>
    <w:rsid w:val="007F6CB9"/>
    <w:rsid w:val="007F6F18"/>
    <w:rsid w:val="007F6FAE"/>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53"/>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11A"/>
    <w:rsid w:val="008152C9"/>
    <w:rsid w:val="00815410"/>
    <w:rsid w:val="008158C2"/>
    <w:rsid w:val="00815917"/>
    <w:rsid w:val="00815A95"/>
    <w:rsid w:val="00815B3F"/>
    <w:rsid w:val="00815EA4"/>
    <w:rsid w:val="008167D2"/>
    <w:rsid w:val="008167F9"/>
    <w:rsid w:val="008169E8"/>
    <w:rsid w:val="00816A67"/>
    <w:rsid w:val="00816C32"/>
    <w:rsid w:val="00817528"/>
    <w:rsid w:val="00817E33"/>
    <w:rsid w:val="00817F48"/>
    <w:rsid w:val="0082098A"/>
    <w:rsid w:val="008209B8"/>
    <w:rsid w:val="008211DB"/>
    <w:rsid w:val="00821285"/>
    <w:rsid w:val="00821480"/>
    <w:rsid w:val="00821897"/>
    <w:rsid w:val="00821A9E"/>
    <w:rsid w:val="0082276A"/>
    <w:rsid w:val="008238B8"/>
    <w:rsid w:val="00823940"/>
    <w:rsid w:val="0082472F"/>
    <w:rsid w:val="00824D2A"/>
    <w:rsid w:val="00825760"/>
    <w:rsid w:val="00825CD8"/>
    <w:rsid w:val="0082667D"/>
    <w:rsid w:val="0082727D"/>
    <w:rsid w:val="008272EC"/>
    <w:rsid w:val="00827B7C"/>
    <w:rsid w:val="00827F68"/>
    <w:rsid w:val="008302A1"/>
    <w:rsid w:val="0083059D"/>
    <w:rsid w:val="00830633"/>
    <w:rsid w:val="0083089C"/>
    <w:rsid w:val="008310D9"/>
    <w:rsid w:val="00831375"/>
    <w:rsid w:val="00831816"/>
    <w:rsid w:val="008318A3"/>
    <w:rsid w:val="00831C53"/>
    <w:rsid w:val="00831F04"/>
    <w:rsid w:val="00831F95"/>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3"/>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0C1"/>
    <w:rsid w:val="008612B2"/>
    <w:rsid w:val="00861728"/>
    <w:rsid w:val="00861DD3"/>
    <w:rsid w:val="00861E47"/>
    <w:rsid w:val="00862384"/>
    <w:rsid w:val="0086321E"/>
    <w:rsid w:val="008632C0"/>
    <w:rsid w:val="00863672"/>
    <w:rsid w:val="00863746"/>
    <w:rsid w:val="00863A85"/>
    <w:rsid w:val="00863D9C"/>
    <w:rsid w:val="00864237"/>
    <w:rsid w:val="00864808"/>
    <w:rsid w:val="00864E1E"/>
    <w:rsid w:val="00864F77"/>
    <w:rsid w:val="00864FFD"/>
    <w:rsid w:val="00865A8B"/>
    <w:rsid w:val="00865E6E"/>
    <w:rsid w:val="00865EFC"/>
    <w:rsid w:val="00866242"/>
    <w:rsid w:val="008663BA"/>
    <w:rsid w:val="00866785"/>
    <w:rsid w:val="00866D91"/>
    <w:rsid w:val="00867503"/>
    <w:rsid w:val="00867570"/>
    <w:rsid w:val="008675E9"/>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6AE9"/>
    <w:rsid w:val="008772BE"/>
    <w:rsid w:val="00877518"/>
    <w:rsid w:val="00877BC0"/>
    <w:rsid w:val="00877C68"/>
    <w:rsid w:val="008802B8"/>
    <w:rsid w:val="0088075B"/>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87BA1"/>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5C"/>
    <w:rsid w:val="0089367F"/>
    <w:rsid w:val="008939BE"/>
    <w:rsid w:val="008941FF"/>
    <w:rsid w:val="0089466D"/>
    <w:rsid w:val="00894B1A"/>
    <w:rsid w:val="008951A8"/>
    <w:rsid w:val="008951B2"/>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745"/>
    <w:rsid w:val="008A78BC"/>
    <w:rsid w:val="008A7C55"/>
    <w:rsid w:val="008A7D0D"/>
    <w:rsid w:val="008A7E32"/>
    <w:rsid w:val="008A7E55"/>
    <w:rsid w:val="008B004E"/>
    <w:rsid w:val="008B00E3"/>
    <w:rsid w:val="008B0DAC"/>
    <w:rsid w:val="008B0E08"/>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375"/>
    <w:rsid w:val="008D1432"/>
    <w:rsid w:val="008D1B01"/>
    <w:rsid w:val="008D1E13"/>
    <w:rsid w:val="008D1F48"/>
    <w:rsid w:val="008D207A"/>
    <w:rsid w:val="008D2319"/>
    <w:rsid w:val="008D23C6"/>
    <w:rsid w:val="008D257E"/>
    <w:rsid w:val="008D3461"/>
    <w:rsid w:val="008D3567"/>
    <w:rsid w:val="008D3952"/>
    <w:rsid w:val="008D3AAB"/>
    <w:rsid w:val="008D3BDE"/>
    <w:rsid w:val="008D3EE4"/>
    <w:rsid w:val="008D3F73"/>
    <w:rsid w:val="008D4705"/>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6EE9"/>
    <w:rsid w:val="008E7090"/>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415"/>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31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31"/>
    <w:rsid w:val="00964583"/>
    <w:rsid w:val="009649E8"/>
    <w:rsid w:val="00964B4E"/>
    <w:rsid w:val="00964D68"/>
    <w:rsid w:val="00965069"/>
    <w:rsid w:val="00965077"/>
    <w:rsid w:val="009657FE"/>
    <w:rsid w:val="00965DC9"/>
    <w:rsid w:val="0096751F"/>
    <w:rsid w:val="0096766A"/>
    <w:rsid w:val="00967B1D"/>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BE"/>
    <w:rsid w:val="00981D78"/>
    <w:rsid w:val="00981ED4"/>
    <w:rsid w:val="0098200F"/>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35A"/>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67A"/>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78"/>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13"/>
    <w:rsid w:val="00A21D62"/>
    <w:rsid w:val="00A21EEF"/>
    <w:rsid w:val="00A222A3"/>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3037E"/>
    <w:rsid w:val="00A3069E"/>
    <w:rsid w:val="00A30942"/>
    <w:rsid w:val="00A30ADB"/>
    <w:rsid w:val="00A310A7"/>
    <w:rsid w:val="00A31110"/>
    <w:rsid w:val="00A31604"/>
    <w:rsid w:val="00A317AA"/>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2B2"/>
    <w:rsid w:val="00A643B1"/>
    <w:rsid w:val="00A64860"/>
    <w:rsid w:val="00A658A0"/>
    <w:rsid w:val="00A65A23"/>
    <w:rsid w:val="00A66AFB"/>
    <w:rsid w:val="00A66C74"/>
    <w:rsid w:val="00A66E3E"/>
    <w:rsid w:val="00A6706C"/>
    <w:rsid w:val="00A67233"/>
    <w:rsid w:val="00A6723E"/>
    <w:rsid w:val="00A6754A"/>
    <w:rsid w:val="00A675C4"/>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A28"/>
    <w:rsid w:val="00A97B21"/>
    <w:rsid w:val="00A97CDF"/>
    <w:rsid w:val="00AA0386"/>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A7CD6"/>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C67"/>
    <w:rsid w:val="00AB4D6C"/>
    <w:rsid w:val="00AB51DD"/>
    <w:rsid w:val="00AB54EB"/>
    <w:rsid w:val="00AB58A4"/>
    <w:rsid w:val="00AB59A2"/>
    <w:rsid w:val="00AB5A32"/>
    <w:rsid w:val="00AB617A"/>
    <w:rsid w:val="00AB66B9"/>
    <w:rsid w:val="00AB6814"/>
    <w:rsid w:val="00AB6943"/>
    <w:rsid w:val="00AB6DFE"/>
    <w:rsid w:val="00AB6FDC"/>
    <w:rsid w:val="00AB7883"/>
    <w:rsid w:val="00AC1807"/>
    <w:rsid w:val="00AC1D9E"/>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94C"/>
    <w:rsid w:val="00AD6FD8"/>
    <w:rsid w:val="00AD79D7"/>
    <w:rsid w:val="00AE0170"/>
    <w:rsid w:val="00AE021F"/>
    <w:rsid w:val="00AE0935"/>
    <w:rsid w:val="00AE0CAE"/>
    <w:rsid w:val="00AE0D65"/>
    <w:rsid w:val="00AE0EDD"/>
    <w:rsid w:val="00AE11A3"/>
    <w:rsid w:val="00AE14D5"/>
    <w:rsid w:val="00AE16A0"/>
    <w:rsid w:val="00AE18D3"/>
    <w:rsid w:val="00AE193F"/>
    <w:rsid w:val="00AE19D5"/>
    <w:rsid w:val="00AE1BB4"/>
    <w:rsid w:val="00AE1BFE"/>
    <w:rsid w:val="00AE2021"/>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881"/>
    <w:rsid w:val="00AE6BE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55D"/>
    <w:rsid w:val="00AF4983"/>
    <w:rsid w:val="00AF4BB0"/>
    <w:rsid w:val="00AF4D02"/>
    <w:rsid w:val="00AF4DBF"/>
    <w:rsid w:val="00AF4EB8"/>
    <w:rsid w:val="00AF56DB"/>
    <w:rsid w:val="00AF5718"/>
    <w:rsid w:val="00AF595A"/>
    <w:rsid w:val="00AF5B8D"/>
    <w:rsid w:val="00AF5D37"/>
    <w:rsid w:val="00AF66EB"/>
    <w:rsid w:val="00AF6B61"/>
    <w:rsid w:val="00AF6CB1"/>
    <w:rsid w:val="00AF7A7E"/>
    <w:rsid w:val="00B0018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08"/>
    <w:rsid w:val="00B07EB4"/>
    <w:rsid w:val="00B10062"/>
    <w:rsid w:val="00B10832"/>
    <w:rsid w:val="00B121C9"/>
    <w:rsid w:val="00B128D7"/>
    <w:rsid w:val="00B12B67"/>
    <w:rsid w:val="00B12D6A"/>
    <w:rsid w:val="00B13478"/>
    <w:rsid w:val="00B13AA2"/>
    <w:rsid w:val="00B13B08"/>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87E"/>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42E"/>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D33"/>
    <w:rsid w:val="00B32EC7"/>
    <w:rsid w:val="00B330D4"/>
    <w:rsid w:val="00B332AB"/>
    <w:rsid w:val="00B33396"/>
    <w:rsid w:val="00B338BB"/>
    <w:rsid w:val="00B33D01"/>
    <w:rsid w:val="00B33E0A"/>
    <w:rsid w:val="00B340A1"/>
    <w:rsid w:val="00B3444F"/>
    <w:rsid w:val="00B347AE"/>
    <w:rsid w:val="00B352AE"/>
    <w:rsid w:val="00B35A09"/>
    <w:rsid w:val="00B35B97"/>
    <w:rsid w:val="00B35BE7"/>
    <w:rsid w:val="00B35C4C"/>
    <w:rsid w:val="00B360DF"/>
    <w:rsid w:val="00B3660C"/>
    <w:rsid w:val="00B36AB7"/>
    <w:rsid w:val="00B36DE3"/>
    <w:rsid w:val="00B37AE1"/>
    <w:rsid w:val="00B37E7C"/>
    <w:rsid w:val="00B404D2"/>
    <w:rsid w:val="00B409AF"/>
    <w:rsid w:val="00B40A11"/>
    <w:rsid w:val="00B41245"/>
    <w:rsid w:val="00B413BD"/>
    <w:rsid w:val="00B4159A"/>
    <w:rsid w:val="00B42678"/>
    <w:rsid w:val="00B42960"/>
    <w:rsid w:val="00B432A5"/>
    <w:rsid w:val="00B43829"/>
    <w:rsid w:val="00B43838"/>
    <w:rsid w:val="00B43D9B"/>
    <w:rsid w:val="00B44AAB"/>
    <w:rsid w:val="00B44B1D"/>
    <w:rsid w:val="00B45087"/>
    <w:rsid w:val="00B45FDD"/>
    <w:rsid w:val="00B46047"/>
    <w:rsid w:val="00B46FD8"/>
    <w:rsid w:val="00B47307"/>
    <w:rsid w:val="00B4741F"/>
    <w:rsid w:val="00B47955"/>
    <w:rsid w:val="00B47A0E"/>
    <w:rsid w:val="00B50140"/>
    <w:rsid w:val="00B50264"/>
    <w:rsid w:val="00B502ED"/>
    <w:rsid w:val="00B503C1"/>
    <w:rsid w:val="00B50940"/>
    <w:rsid w:val="00B509FF"/>
    <w:rsid w:val="00B5194E"/>
    <w:rsid w:val="00B5226E"/>
    <w:rsid w:val="00B522E5"/>
    <w:rsid w:val="00B527B5"/>
    <w:rsid w:val="00B52D67"/>
    <w:rsid w:val="00B52F24"/>
    <w:rsid w:val="00B52F64"/>
    <w:rsid w:val="00B53267"/>
    <w:rsid w:val="00B53781"/>
    <w:rsid w:val="00B53BCD"/>
    <w:rsid w:val="00B53C53"/>
    <w:rsid w:val="00B53DBF"/>
    <w:rsid w:val="00B54248"/>
    <w:rsid w:val="00B545FA"/>
    <w:rsid w:val="00B5471A"/>
    <w:rsid w:val="00B547C3"/>
    <w:rsid w:val="00B54954"/>
    <w:rsid w:val="00B54E44"/>
    <w:rsid w:val="00B555E9"/>
    <w:rsid w:val="00B55CE7"/>
    <w:rsid w:val="00B55FA0"/>
    <w:rsid w:val="00B56138"/>
    <w:rsid w:val="00B570AE"/>
    <w:rsid w:val="00B57C8E"/>
    <w:rsid w:val="00B57DA3"/>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6C3"/>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03C"/>
    <w:rsid w:val="00B7441F"/>
    <w:rsid w:val="00B74467"/>
    <w:rsid w:val="00B74568"/>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583"/>
    <w:rsid w:val="00B83AE9"/>
    <w:rsid w:val="00B84406"/>
    <w:rsid w:val="00B84464"/>
    <w:rsid w:val="00B8490A"/>
    <w:rsid w:val="00B84AB6"/>
    <w:rsid w:val="00B84D23"/>
    <w:rsid w:val="00B84DBA"/>
    <w:rsid w:val="00B852B5"/>
    <w:rsid w:val="00B856EA"/>
    <w:rsid w:val="00B85C74"/>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0CF"/>
    <w:rsid w:val="00BA0B91"/>
    <w:rsid w:val="00BA1377"/>
    <w:rsid w:val="00BA15F9"/>
    <w:rsid w:val="00BA1641"/>
    <w:rsid w:val="00BA18D2"/>
    <w:rsid w:val="00BA1EE3"/>
    <w:rsid w:val="00BA216E"/>
    <w:rsid w:val="00BA230B"/>
    <w:rsid w:val="00BA238D"/>
    <w:rsid w:val="00BA2DFD"/>
    <w:rsid w:val="00BA2E07"/>
    <w:rsid w:val="00BA2FB6"/>
    <w:rsid w:val="00BA3286"/>
    <w:rsid w:val="00BA3436"/>
    <w:rsid w:val="00BA34C9"/>
    <w:rsid w:val="00BA37D9"/>
    <w:rsid w:val="00BA38B6"/>
    <w:rsid w:val="00BA3976"/>
    <w:rsid w:val="00BA3EF0"/>
    <w:rsid w:val="00BA3F15"/>
    <w:rsid w:val="00BA45E0"/>
    <w:rsid w:val="00BA48BB"/>
    <w:rsid w:val="00BA4A39"/>
    <w:rsid w:val="00BA4B38"/>
    <w:rsid w:val="00BA4C43"/>
    <w:rsid w:val="00BA5016"/>
    <w:rsid w:val="00BA52C3"/>
    <w:rsid w:val="00BA557B"/>
    <w:rsid w:val="00BA57BD"/>
    <w:rsid w:val="00BA5B0A"/>
    <w:rsid w:val="00BA5D55"/>
    <w:rsid w:val="00BA6143"/>
    <w:rsid w:val="00BA6295"/>
    <w:rsid w:val="00BA687D"/>
    <w:rsid w:val="00BA6933"/>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35F"/>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4E5"/>
    <w:rsid w:val="00BC67A2"/>
    <w:rsid w:val="00BC720D"/>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AD"/>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4CD"/>
    <w:rsid w:val="00BF272C"/>
    <w:rsid w:val="00BF2D48"/>
    <w:rsid w:val="00BF2DD1"/>
    <w:rsid w:val="00BF31B4"/>
    <w:rsid w:val="00BF372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094"/>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53D"/>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05A"/>
    <w:rsid w:val="00C73543"/>
    <w:rsid w:val="00C7377E"/>
    <w:rsid w:val="00C73C81"/>
    <w:rsid w:val="00C73CCA"/>
    <w:rsid w:val="00C74516"/>
    <w:rsid w:val="00C74772"/>
    <w:rsid w:val="00C747CA"/>
    <w:rsid w:val="00C74B29"/>
    <w:rsid w:val="00C74DE4"/>
    <w:rsid w:val="00C754F9"/>
    <w:rsid w:val="00C757C6"/>
    <w:rsid w:val="00C75A09"/>
    <w:rsid w:val="00C75B10"/>
    <w:rsid w:val="00C762C3"/>
    <w:rsid w:val="00C76941"/>
    <w:rsid w:val="00C76A00"/>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370"/>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1F4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5102"/>
    <w:rsid w:val="00CE555B"/>
    <w:rsid w:val="00CE59DF"/>
    <w:rsid w:val="00CE5B9B"/>
    <w:rsid w:val="00CE5EC2"/>
    <w:rsid w:val="00CE7474"/>
    <w:rsid w:val="00CE7554"/>
    <w:rsid w:val="00CE76F4"/>
    <w:rsid w:val="00CE7828"/>
    <w:rsid w:val="00CE7AEE"/>
    <w:rsid w:val="00CE7D4C"/>
    <w:rsid w:val="00CE7F1C"/>
    <w:rsid w:val="00CF0054"/>
    <w:rsid w:val="00CF010A"/>
    <w:rsid w:val="00CF02BE"/>
    <w:rsid w:val="00CF054D"/>
    <w:rsid w:val="00CF0C34"/>
    <w:rsid w:val="00CF0D80"/>
    <w:rsid w:val="00CF14BC"/>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3C34"/>
    <w:rsid w:val="00CF438D"/>
    <w:rsid w:val="00CF4485"/>
    <w:rsid w:val="00CF46FD"/>
    <w:rsid w:val="00CF4BAE"/>
    <w:rsid w:val="00CF4C82"/>
    <w:rsid w:val="00CF525D"/>
    <w:rsid w:val="00CF53F3"/>
    <w:rsid w:val="00CF5FDE"/>
    <w:rsid w:val="00CF6354"/>
    <w:rsid w:val="00CF65B9"/>
    <w:rsid w:val="00CF66AF"/>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0D5F"/>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3E27"/>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B9A"/>
    <w:rsid w:val="00D37EA5"/>
    <w:rsid w:val="00D400A9"/>
    <w:rsid w:val="00D4094B"/>
    <w:rsid w:val="00D40C2B"/>
    <w:rsid w:val="00D40F61"/>
    <w:rsid w:val="00D4151C"/>
    <w:rsid w:val="00D41C5C"/>
    <w:rsid w:val="00D42322"/>
    <w:rsid w:val="00D428E2"/>
    <w:rsid w:val="00D42BFA"/>
    <w:rsid w:val="00D42D39"/>
    <w:rsid w:val="00D43670"/>
    <w:rsid w:val="00D4386E"/>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150"/>
    <w:rsid w:val="00D60342"/>
    <w:rsid w:val="00D603DC"/>
    <w:rsid w:val="00D6068C"/>
    <w:rsid w:val="00D60DDD"/>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1C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1BA"/>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4CDD"/>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40B"/>
    <w:rsid w:val="00D90931"/>
    <w:rsid w:val="00D90D9A"/>
    <w:rsid w:val="00D91130"/>
    <w:rsid w:val="00D91310"/>
    <w:rsid w:val="00D9152D"/>
    <w:rsid w:val="00D91DB5"/>
    <w:rsid w:val="00D926C8"/>
    <w:rsid w:val="00D926F2"/>
    <w:rsid w:val="00D92D00"/>
    <w:rsid w:val="00D92DEC"/>
    <w:rsid w:val="00D9323C"/>
    <w:rsid w:val="00D93303"/>
    <w:rsid w:val="00D93592"/>
    <w:rsid w:val="00D936B0"/>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3E96"/>
    <w:rsid w:val="00DD408B"/>
    <w:rsid w:val="00DD44B1"/>
    <w:rsid w:val="00DD4849"/>
    <w:rsid w:val="00DD48D9"/>
    <w:rsid w:val="00DD4B30"/>
    <w:rsid w:val="00DD63B9"/>
    <w:rsid w:val="00DD6E12"/>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6EFF"/>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72F"/>
    <w:rsid w:val="00E10A17"/>
    <w:rsid w:val="00E111DC"/>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AE9"/>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4DF"/>
    <w:rsid w:val="00E208B5"/>
    <w:rsid w:val="00E20B53"/>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24"/>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1A3"/>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4EA"/>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3C0D"/>
    <w:rsid w:val="00E94051"/>
    <w:rsid w:val="00E94E5C"/>
    <w:rsid w:val="00E95093"/>
    <w:rsid w:val="00E95548"/>
    <w:rsid w:val="00E955D6"/>
    <w:rsid w:val="00E9562D"/>
    <w:rsid w:val="00E958FC"/>
    <w:rsid w:val="00E95B39"/>
    <w:rsid w:val="00E95C6B"/>
    <w:rsid w:val="00E9647D"/>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3A6"/>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57AAF"/>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3CB0"/>
    <w:rsid w:val="00FB3F03"/>
    <w:rsid w:val="00FB4096"/>
    <w:rsid w:val="00FB4845"/>
    <w:rsid w:val="00FB4C76"/>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637"/>
    <w:rsid w:val="00FC47D3"/>
    <w:rsid w:val="00FC483A"/>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F88"/>
    <w:rsid w:val="00FE2458"/>
    <w:rsid w:val="00FE26B0"/>
    <w:rsid w:val="00FE28F2"/>
    <w:rsid w:val="00FE2CF1"/>
    <w:rsid w:val="00FE2DB8"/>
    <w:rsid w:val="00FE2E74"/>
    <w:rsid w:val="00FE2E7B"/>
    <w:rsid w:val="00FE2FB8"/>
    <w:rsid w:val="00FE3499"/>
    <w:rsid w:val="00FE37BF"/>
    <w:rsid w:val="00FE40E7"/>
    <w:rsid w:val="00FE4303"/>
    <w:rsid w:val="00FE434B"/>
    <w:rsid w:val="00FE451F"/>
    <w:rsid w:val="00FE45BF"/>
    <w:rsid w:val="00FE4C55"/>
    <w:rsid w:val="00FE4E88"/>
    <w:rsid w:val="00FE510C"/>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semiHidden/>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semiHidden/>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rfd.gov.vn/content/hoinghihoithao/Lists/DanhSachHoiNghiHoiThao/Attachments/38/2.1.%20Status%20of%20L-band%20for%20IMT%20implementation.pd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rfd.gov.vn/content/hoinghihoithao/Lists/DanhSachHoiNghiHoiThao/Attachments/38/2.2.%20Use%20of%20L-band%20in%20Japan%20for%20IMT.pdf"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C3F92-9F23-4835-ABDF-44E3D947A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2A68DF-DC85-46E2-969C-899C4B2425F6}">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F61E5694-B110-46FA-ADA3-8A4F381EF15B}">
  <ds:schemaRefs>
    <ds:schemaRef ds:uri="http://schemas.microsoft.com/sharepoint/v3/contenttype/forms"/>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210</TotalTime>
  <Pages>6</Pages>
  <Words>2108</Words>
  <Characters>12002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Lodigiani</dc:creator>
  <cp:keywords/>
  <dc:description/>
  <cp:lastModifiedBy>Luca Lodigiani</cp:lastModifiedBy>
  <cp:revision>172</cp:revision>
  <cp:lastPrinted>2017-09-11T16:45:00Z</cp:lastPrinted>
  <dcterms:created xsi:type="dcterms:W3CDTF">2023-05-12T12:34:00Z</dcterms:created>
  <dcterms:modified xsi:type="dcterms:W3CDTF">2023-05-15T22:38:00Z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lassificationContentMarkingFooterShapeIds">
    <vt:lpwstr>1,3,4</vt:lpwstr>
  </property>
  <property fmtid="{D5CDD505-2E9C-101B-9397-08002B2CF9AE}" pid="17" name="ClassificationContentMarkingFooterFontProps">
    <vt:lpwstr>#000000,7,Calibri</vt:lpwstr>
  </property>
  <property fmtid="{D5CDD505-2E9C-101B-9397-08002B2CF9AE}" pid="18" name="ClassificationContentMarkingFooterText">
    <vt:lpwstr>RESTRICTED | © INMARSAT</vt:lpwstr>
  </property>
  <property fmtid="{D5CDD505-2E9C-101B-9397-08002B2CF9AE}" pid="19" name="ContentTypeId">
    <vt:lpwstr>0x010100B98573469650B343AF314866C5FCEB84</vt:lpwstr>
  </property>
  <property fmtid="{D5CDD505-2E9C-101B-9397-08002B2CF9AE}" pid="20" name="MediaServiceImageTags">
    <vt:lpwstr/>
  </property>
</Properties>
</file>